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B635" w14:textId="77777777" w:rsidR="00AD1936" w:rsidRPr="005271D7" w:rsidRDefault="00706794">
      <w:pPr>
        <w:pStyle w:val="BodyText"/>
        <w:spacing w:after="360" w:line="298" w:lineRule="auto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ΑΝΩΤΑΤΟ ΣΥΝΤΑΓΜΑΤΙΚΟ ΔΙΚΑΣΤΗΡΙΟ ΚΥΠΡΟΥ ΔΕΥΤΕΡΟΒΑΘΜΙΑ ΔΙΚΑΙΟΔΟΣΙΑ</w:t>
      </w:r>
    </w:p>
    <w:p w14:paraId="326DD5D6" w14:textId="6F4AA066" w:rsidR="00AD1936" w:rsidRPr="005271D7" w:rsidRDefault="00706794">
      <w:pPr>
        <w:pStyle w:val="BodyText"/>
        <w:spacing w:after="700" w:line="343" w:lineRule="auto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(Άρθρο 23(3)(β)(</w:t>
      </w:r>
      <w:proofErr w:type="spellStart"/>
      <w:r w:rsidR="00CC3876" w:rsidRPr="005271D7">
        <w:rPr>
          <w:rStyle w:val="BodyTextChar"/>
          <w:sz w:val="28"/>
          <w:szCs w:val="28"/>
          <w:lang w:val="en-US"/>
        </w:rPr>
        <w:t>i</w:t>
      </w:r>
      <w:proofErr w:type="spellEnd"/>
      <w:r w:rsidRPr="005271D7">
        <w:rPr>
          <w:rStyle w:val="BodyTextChar"/>
          <w:sz w:val="28"/>
          <w:szCs w:val="28"/>
        </w:rPr>
        <w:t>) του Ν. 33/64 - Μεταβατικές Διατάξεις)</w:t>
      </w:r>
    </w:p>
    <w:p w14:paraId="3AB150A1" w14:textId="4801656B" w:rsidR="00AD1936" w:rsidRPr="005271D7" w:rsidRDefault="00706794">
      <w:pPr>
        <w:pStyle w:val="BodyText"/>
        <w:spacing w:after="320" w:line="343" w:lineRule="auto"/>
        <w:jc w:val="center"/>
        <w:rPr>
          <w:sz w:val="28"/>
          <w:szCs w:val="28"/>
        </w:rPr>
      </w:pPr>
      <w:r w:rsidRPr="005271D7">
        <w:rPr>
          <w:rStyle w:val="BodyTextChar"/>
          <w:i/>
          <w:iCs/>
          <w:sz w:val="28"/>
          <w:szCs w:val="28"/>
        </w:rPr>
        <w:t xml:space="preserve">(Έφεση Κατά Απόφασης Διοικητικού Δικαστηρίου </w:t>
      </w:r>
      <w:proofErr w:type="spellStart"/>
      <w:r w:rsidRPr="005271D7">
        <w:rPr>
          <w:rStyle w:val="BodyTextChar"/>
          <w:i/>
          <w:iCs/>
          <w:sz w:val="28"/>
          <w:szCs w:val="28"/>
        </w:rPr>
        <w:t>Αρ</w:t>
      </w:r>
      <w:proofErr w:type="spellEnd"/>
      <w:r w:rsidRPr="005271D7">
        <w:rPr>
          <w:rStyle w:val="BodyTextChar"/>
          <w:i/>
          <w:iCs/>
          <w:sz w:val="28"/>
          <w:szCs w:val="28"/>
        </w:rPr>
        <w:t>. 3</w:t>
      </w:r>
      <w:r w:rsidR="00DC19A2" w:rsidRPr="00DC19A2">
        <w:rPr>
          <w:rStyle w:val="BodyTextChar"/>
          <w:i/>
          <w:iCs/>
          <w:sz w:val="28"/>
          <w:szCs w:val="28"/>
        </w:rPr>
        <w:t>5</w:t>
      </w:r>
      <w:r w:rsidRPr="005271D7">
        <w:rPr>
          <w:rStyle w:val="BodyTextChar"/>
          <w:i/>
          <w:iCs/>
          <w:sz w:val="28"/>
          <w:szCs w:val="28"/>
        </w:rPr>
        <w:t>/17)</w:t>
      </w:r>
    </w:p>
    <w:p w14:paraId="3F6EFAD1" w14:textId="2CFD7EEB" w:rsidR="00AD1936" w:rsidRPr="005271D7" w:rsidRDefault="000274AB">
      <w:pPr>
        <w:pStyle w:val="BodyText"/>
        <w:spacing w:after="320" w:line="343" w:lineRule="auto"/>
        <w:jc w:val="center"/>
        <w:rPr>
          <w:sz w:val="28"/>
          <w:szCs w:val="28"/>
        </w:rPr>
      </w:pPr>
      <w:r>
        <w:rPr>
          <w:rStyle w:val="BodyTextChar"/>
          <w:sz w:val="28"/>
          <w:szCs w:val="28"/>
        </w:rPr>
        <w:t xml:space="preserve">17 </w:t>
      </w:r>
      <w:r w:rsidRPr="005271D7">
        <w:rPr>
          <w:rStyle w:val="BodyTextChar"/>
          <w:sz w:val="28"/>
          <w:szCs w:val="28"/>
        </w:rPr>
        <w:t>Οκτωβρίου, 2023</w:t>
      </w:r>
    </w:p>
    <w:p w14:paraId="1F9904F6" w14:textId="1990A4C3" w:rsidR="00AD1936" w:rsidRPr="005271D7" w:rsidRDefault="00706794">
      <w:pPr>
        <w:pStyle w:val="BodyText"/>
        <w:spacing w:after="700" w:line="343" w:lineRule="auto"/>
        <w:jc w:val="center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[ΟΙΚΟΝΟΜΟΥ, ΣΑΝΤΗΣ, ΚΑΛΛΙ</w:t>
      </w:r>
      <w:r w:rsidR="00340D34">
        <w:rPr>
          <w:rStyle w:val="BodyTextChar"/>
          <w:sz w:val="28"/>
          <w:szCs w:val="28"/>
        </w:rPr>
        <w:t>Γ</w:t>
      </w:r>
      <w:r w:rsidRPr="005271D7">
        <w:rPr>
          <w:rStyle w:val="BodyTextChar"/>
          <w:sz w:val="28"/>
          <w:szCs w:val="28"/>
        </w:rPr>
        <w:t>ΕΡΟΥ, Δ/ΣΤΕΣ]</w:t>
      </w:r>
    </w:p>
    <w:p w14:paraId="1BF13545" w14:textId="1A98C0D3" w:rsidR="00AD1936" w:rsidRPr="00DC19A2" w:rsidRDefault="00DC19A2" w:rsidP="00DC19A2">
      <w:pPr>
        <w:pStyle w:val="BodyText"/>
        <w:tabs>
          <w:tab w:val="left" w:pos="427"/>
        </w:tabs>
        <w:spacing w:after="440" w:line="240" w:lineRule="auto"/>
        <w:jc w:val="center"/>
        <w:rPr>
          <w:sz w:val="28"/>
          <w:szCs w:val="28"/>
          <w:lang w:val="en-US"/>
        </w:rPr>
      </w:pPr>
      <w:r>
        <w:rPr>
          <w:rStyle w:val="BodyTextChar"/>
          <w:sz w:val="28"/>
          <w:szCs w:val="28"/>
          <w:lang w:val="en-US"/>
        </w:rPr>
        <w:t>C</w:t>
      </w:r>
      <w:r w:rsidRPr="00DC19A2">
        <w:rPr>
          <w:rStyle w:val="BodyTextChar"/>
          <w:sz w:val="28"/>
          <w:szCs w:val="28"/>
          <w:lang w:val="en-US"/>
        </w:rPr>
        <w:t>.</w:t>
      </w:r>
      <w:r>
        <w:rPr>
          <w:rStyle w:val="BodyTextChar"/>
          <w:sz w:val="28"/>
          <w:szCs w:val="28"/>
          <w:lang w:val="en-US"/>
        </w:rPr>
        <w:t>T</w:t>
      </w:r>
      <w:r w:rsidRPr="00DC19A2">
        <w:rPr>
          <w:rStyle w:val="BodyTextChar"/>
          <w:sz w:val="28"/>
          <w:szCs w:val="28"/>
          <w:lang w:val="en-US"/>
        </w:rPr>
        <w:t>.</w:t>
      </w:r>
      <w:r>
        <w:rPr>
          <w:rStyle w:val="BodyTextChar"/>
          <w:sz w:val="28"/>
          <w:szCs w:val="28"/>
          <w:lang w:val="en-US"/>
        </w:rPr>
        <w:t>K. DEVELOPERS – CONSTRUCTIONS LTD,</w:t>
      </w:r>
    </w:p>
    <w:p w14:paraId="0F9563E6" w14:textId="77777777" w:rsidR="00AD1936" w:rsidRPr="005271D7" w:rsidRDefault="00706794">
      <w:pPr>
        <w:pStyle w:val="BodyText"/>
        <w:spacing w:after="360" w:line="298" w:lineRule="auto"/>
        <w:ind w:left="4020" w:firstLine="2680"/>
        <w:rPr>
          <w:sz w:val="28"/>
          <w:szCs w:val="28"/>
        </w:rPr>
      </w:pPr>
      <w:proofErr w:type="spellStart"/>
      <w:r w:rsidRPr="005271D7">
        <w:rPr>
          <w:rStyle w:val="BodyTextChar"/>
          <w:i/>
          <w:iCs/>
          <w:sz w:val="28"/>
          <w:szCs w:val="28"/>
        </w:rPr>
        <w:t>Εφεσείοντες</w:t>
      </w:r>
      <w:proofErr w:type="spellEnd"/>
      <w:r w:rsidRPr="005271D7">
        <w:rPr>
          <w:rStyle w:val="BodyTextChar"/>
          <w:i/>
          <w:iCs/>
          <w:sz w:val="28"/>
          <w:szCs w:val="28"/>
        </w:rPr>
        <w:t>, ν.</w:t>
      </w:r>
    </w:p>
    <w:p w14:paraId="3C05F952" w14:textId="77777777" w:rsidR="00DC19A2" w:rsidRDefault="00DC19A2" w:rsidP="00DC19A2">
      <w:pPr>
        <w:pStyle w:val="BodyText"/>
        <w:numPr>
          <w:ilvl w:val="0"/>
          <w:numId w:val="2"/>
        </w:numPr>
        <w:spacing w:after="0" w:line="360" w:lineRule="auto"/>
        <w:ind w:left="714" w:hanging="357"/>
        <w:jc w:val="center"/>
        <w:rPr>
          <w:rStyle w:val="BodyTextChar"/>
          <w:sz w:val="28"/>
          <w:szCs w:val="28"/>
        </w:rPr>
      </w:pPr>
      <w:r w:rsidRPr="00DC19A2">
        <w:rPr>
          <w:rStyle w:val="BodyTextChar"/>
          <w:sz w:val="28"/>
          <w:szCs w:val="28"/>
        </w:rPr>
        <w:t xml:space="preserve">ΕΦΟΡΟΥ ΦΟΡΟΥ ΠΡΟΣΤΙΘΕΜΕΝΗΣ ΑΞΙΑΣ </w:t>
      </w:r>
    </w:p>
    <w:p w14:paraId="3B65F1E4" w14:textId="42BF32A0" w:rsidR="00DC19A2" w:rsidRDefault="00DC19A2" w:rsidP="00DC19A2">
      <w:pPr>
        <w:pStyle w:val="BodyText"/>
        <w:spacing w:after="0" w:line="360" w:lineRule="auto"/>
        <w:ind w:left="2154" w:firstLine="6"/>
        <w:rPr>
          <w:rStyle w:val="BodyTextChar"/>
          <w:sz w:val="28"/>
          <w:szCs w:val="28"/>
        </w:rPr>
      </w:pPr>
      <w:r w:rsidRPr="00DC19A2">
        <w:rPr>
          <w:rStyle w:val="BodyTextChar"/>
          <w:sz w:val="28"/>
          <w:szCs w:val="28"/>
        </w:rPr>
        <w:t>ΔΙΑ ΤΟΥ ΓΕΝΙΚΟΥ ΕΙΣΑΓΓΕΛΕΑ,</w:t>
      </w:r>
    </w:p>
    <w:p w14:paraId="00FE0E70" w14:textId="77777777" w:rsidR="00DC19A2" w:rsidRDefault="00DC19A2" w:rsidP="00DC19A2">
      <w:pPr>
        <w:pStyle w:val="BodyText"/>
        <w:numPr>
          <w:ilvl w:val="0"/>
          <w:numId w:val="2"/>
        </w:numPr>
        <w:spacing w:after="0" w:line="360" w:lineRule="auto"/>
        <w:ind w:left="714" w:hanging="357"/>
        <w:jc w:val="center"/>
        <w:rPr>
          <w:rStyle w:val="BodyTextChar"/>
          <w:sz w:val="28"/>
          <w:szCs w:val="28"/>
        </w:rPr>
      </w:pPr>
      <w:r w:rsidRPr="00DC19A2">
        <w:rPr>
          <w:rStyle w:val="BodyTextChar"/>
          <w:sz w:val="28"/>
          <w:szCs w:val="28"/>
        </w:rPr>
        <w:t xml:space="preserve">ΚΥΠΡΙΑΚΗΣ ΔΗΜΟΚΡΑΤΙΑΣ ΔΙΑ ΤΟΥ </w:t>
      </w:r>
    </w:p>
    <w:p w14:paraId="71261B22" w14:textId="601C9091" w:rsidR="00AD1936" w:rsidRPr="00DC19A2" w:rsidRDefault="00DC19A2" w:rsidP="00DC19A2">
      <w:pPr>
        <w:pStyle w:val="BodyText"/>
        <w:spacing w:after="0" w:line="360" w:lineRule="auto"/>
        <w:ind w:left="2874" w:firstLine="6"/>
        <w:rPr>
          <w:sz w:val="28"/>
          <w:szCs w:val="28"/>
        </w:rPr>
      </w:pPr>
      <w:r w:rsidRPr="00DC19A2">
        <w:rPr>
          <w:rStyle w:val="BodyTextChar"/>
          <w:sz w:val="28"/>
          <w:szCs w:val="28"/>
        </w:rPr>
        <w:t>ΓΕΝΙΚΟΥ ΕΙΣΑΓΓΕΛΕΑ</w:t>
      </w:r>
    </w:p>
    <w:p w14:paraId="5DEBEA79" w14:textId="77777777" w:rsidR="00AD1936" w:rsidRDefault="00706794" w:rsidP="00316E07">
      <w:pPr>
        <w:pStyle w:val="BodyText"/>
        <w:spacing w:after="100" w:afterAutospacing="1" w:line="240" w:lineRule="auto"/>
        <w:jc w:val="right"/>
        <w:rPr>
          <w:rStyle w:val="BodyTextChar"/>
          <w:i/>
          <w:iCs/>
          <w:sz w:val="28"/>
          <w:szCs w:val="28"/>
        </w:rPr>
      </w:pPr>
      <w:r w:rsidRPr="005271D7">
        <w:rPr>
          <w:rStyle w:val="BodyTextChar"/>
          <w:i/>
          <w:iCs/>
          <w:sz w:val="28"/>
          <w:szCs w:val="28"/>
        </w:rPr>
        <w:t>Εφεσίβλητων.</w:t>
      </w:r>
    </w:p>
    <w:p w14:paraId="2791C197" w14:textId="16C05823" w:rsidR="00316E07" w:rsidRPr="000E72DE" w:rsidRDefault="00316E07" w:rsidP="00316E07">
      <w:pPr>
        <w:pStyle w:val="BodyText"/>
        <w:spacing w:after="100" w:afterAutospacing="1" w:line="240" w:lineRule="auto"/>
        <w:jc w:val="center"/>
        <w:rPr>
          <w:sz w:val="28"/>
          <w:szCs w:val="28"/>
        </w:rPr>
      </w:pPr>
      <w:r w:rsidRPr="000E72DE">
        <w:rPr>
          <w:sz w:val="28"/>
          <w:szCs w:val="28"/>
        </w:rPr>
        <w:t>_______________________</w:t>
      </w:r>
    </w:p>
    <w:p w14:paraId="3E8F1F5D" w14:textId="3FFB09B0" w:rsidR="00AD1936" w:rsidRDefault="00DC19A2" w:rsidP="00AE3D2F">
      <w:pPr>
        <w:pStyle w:val="BodyText"/>
        <w:spacing w:after="0" w:line="360" w:lineRule="auto"/>
        <w:jc w:val="both"/>
        <w:rPr>
          <w:rStyle w:val="BodyTextChar"/>
          <w:sz w:val="28"/>
          <w:szCs w:val="28"/>
        </w:rPr>
      </w:pPr>
      <w:r>
        <w:rPr>
          <w:rStyle w:val="BodyTextChar"/>
          <w:i/>
          <w:iCs/>
          <w:sz w:val="28"/>
          <w:szCs w:val="28"/>
        </w:rPr>
        <w:t xml:space="preserve">Γ. </w:t>
      </w:r>
      <w:proofErr w:type="spellStart"/>
      <w:r>
        <w:rPr>
          <w:rStyle w:val="BodyTextChar"/>
          <w:i/>
          <w:iCs/>
          <w:sz w:val="28"/>
          <w:szCs w:val="28"/>
        </w:rPr>
        <w:t>Πιττάτζης</w:t>
      </w:r>
      <w:proofErr w:type="spellEnd"/>
      <w:r w:rsidRPr="005271D7">
        <w:rPr>
          <w:rStyle w:val="BodyTextChar"/>
          <w:i/>
          <w:iCs/>
          <w:sz w:val="28"/>
          <w:szCs w:val="28"/>
        </w:rPr>
        <w:t>, για</w:t>
      </w:r>
      <w:r>
        <w:rPr>
          <w:rStyle w:val="BodyTextChar"/>
          <w:i/>
          <w:iCs/>
          <w:sz w:val="28"/>
          <w:szCs w:val="28"/>
        </w:rPr>
        <w:t xml:space="preserve"> Γ. Φ. </w:t>
      </w:r>
      <w:proofErr w:type="spellStart"/>
      <w:r>
        <w:rPr>
          <w:rStyle w:val="BodyTextChar"/>
          <w:i/>
          <w:iCs/>
          <w:sz w:val="28"/>
          <w:szCs w:val="28"/>
        </w:rPr>
        <w:t>Πιττάτζης</w:t>
      </w:r>
      <w:proofErr w:type="spellEnd"/>
      <w:r w:rsidRPr="005271D7">
        <w:rPr>
          <w:rStyle w:val="BodyTextChar"/>
          <w:i/>
          <w:iCs/>
          <w:sz w:val="28"/>
          <w:szCs w:val="28"/>
        </w:rPr>
        <w:t xml:space="preserve"> Δ.Ε.Π.Ε., </w:t>
      </w:r>
      <w:r w:rsidRPr="005271D7">
        <w:rPr>
          <w:rStyle w:val="BodyTextChar"/>
          <w:sz w:val="28"/>
          <w:szCs w:val="28"/>
        </w:rPr>
        <w:t xml:space="preserve">για τους </w:t>
      </w:r>
      <w:proofErr w:type="spellStart"/>
      <w:r w:rsidRPr="005271D7">
        <w:rPr>
          <w:rStyle w:val="BodyTextChar"/>
          <w:sz w:val="28"/>
          <w:szCs w:val="28"/>
        </w:rPr>
        <w:t>Εφεσείοντες</w:t>
      </w:r>
      <w:proofErr w:type="spellEnd"/>
      <w:r w:rsidRPr="005271D7">
        <w:rPr>
          <w:rStyle w:val="BodyTextChar"/>
          <w:sz w:val="28"/>
          <w:szCs w:val="28"/>
        </w:rPr>
        <w:t>.</w:t>
      </w:r>
    </w:p>
    <w:p w14:paraId="29D6E337" w14:textId="77777777" w:rsidR="003E6AC1" w:rsidRPr="005271D7" w:rsidRDefault="003E6AC1" w:rsidP="003E6AC1">
      <w:pPr>
        <w:pStyle w:val="BodyText"/>
        <w:spacing w:after="0" w:line="240" w:lineRule="auto"/>
        <w:jc w:val="both"/>
        <w:rPr>
          <w:sz w:val="28"/>
          <w:szCs w:val="28"/>
        </w:rPr>
      </w:pPr>
    </w:p>
    <w:p w14:paraId="13B312D9" w14:textId="5395B928" w:rsidR="00AD1936" w:rsidRPr="005271D7" w:rsidRDefault="00DC19A2" w:rsidP="00AE3D2F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rStyle w:val="BodyTextChar"/>
          <w:i/>
          <w:iCs/>
          <w:sz w:val="28"/>
          <w:szCs w:val="28"/>
        </w:rPr>
        <w:t xml:space="preserve">Δ. </w:t>
      </w:r>
      <w:proofErr w:type="spellStart"/>
      <w:r>
        <w:rPr>
          <w:rStyle w:val="BodyTextChar"/>
          <w:i/>
          <w:iCs/>
          <w:sz w:val="28"/>
          <w:szCs w:val="28"/>
        </w:rPr>
        <w:t>Εργατούδη</w:t>
      </w:r>
      <w:proofErr w:type="spellEnd"/>
      <w:r w:rsidRPr="005271D7">
        <w:rPr>
          <w:rStyle w:val="BodyTextChar"/>
          <w:i/>
          <w:iCs/>
          <w:sz w:val="28"/>
          <w:szCs w:val="28"/>
        </w:rPr>
        <w:t xml:space="preserve"> (κα), </w:t>
      </w:r>
      <w:r>
        <w:rPr>
          <w:rStyle w:val="BodyTextChar"/>
          <w:i/>
          <w:iCs/>
          <w:sz w:val="28"/>
          <w:szCs w:val="28"/>
        </w:rPr>
        <w:t xml:space="preserve">Ανώτερη </w:t>
      </w:r>
      <w:r w:rsidRPr="005271D7">
        <w:rPr>
          <w:rStyle w:val="BodyTextChar"/>
          <w:i/>
          <w:iCs/>
          <w:sz w:val="28"/>
          <w:szCs w:val="28"/>
        </w:rPr>
        <w:t>Δικηγόρος της Δημοκρατίας, για Γενικό Εισαγγελέα,</w:t>
      </w:r>
      <w:r w:rsidRPr="005271D7">
        <w:rPr>
          <w:rStyle w:val="BodyTextChar"/>
          <w:sz w:val="28"/>
          <w:szCs w:val="28"/>
        </w:rPr>
        <w:t xml:space="preserve"> για τους Εφεσίβλητους.</w:t>
      </w:r>
    </w:p>
    <w:p w14:paraId="55630029" w14:textId="1263ABBC" w:rsidR="00AE3D2F" w:rsidRPr="000E72DE" w:rsidRDefault="00316E07">
      <w:pPr>
        <w:pStyle w:val="BodyText"/>
        <w:spacing w:after="400" w:line="374" w:lineRule="auto"/>
        <w:jc w:val="center"/>
        <w:rPr>
          <w:rStyle w:val="BodyTextChar"/>
          <w:b/>
          <w:bCs/>
          <w:sz w:val="28"/>
          <w:szCs w:val="28"/>
        </w:rPr>
      </w:pPr>
      <w:r w:rsidRPr="00316E07">
        <w:rPr>
          <w:rStyle w:val="BodyTextChar"/>
          <w:b/>
          <w:bCs/>
          <w:sz w:val="28"/>
          <w:szCs w:val="28"/>
        </w:rPr>
        <w:t>_</w:t>
      </w:r>
      <w:r w:rsidRPr="000E72DE">
        <w:rPr>
          <w:rStyle w:val="BodyTextChar"/>
          <w:b/>
          <w:bCs/>
          <w:sz w:val="28"/>
          <w:szCs w:val="28"/>
        </w:rPr>
        <w:t>______________________</w:t>
      </w:r>
    </w:p>
    <w:p w14:paraId="57E6BD10" w14:textId="6214DCAF" w:rsidR="00AD1936" w:rsidRPr="005271D7" w:rsidRDefault="00706794">
      <w:pPr>
        <w:pStyle w:val="BodyText"/>
        <w:spacing w:after="400" w:line="374" w:lineRule="auto"/>
        <w:jc w:val="center"/>
        <w:rPr>
          <w:sz w:val="28"/>
          <w:szCs w:val="28"/>
        </w:rPr>
      </w:pPr>
      <w:r w:rsidRPr="005271D7">
        <w:rPr>
          <w:rStyle w:val="BodyTextChar"/>
          <w:b/>
          <w:bCs/>
          <w:sz w:val="28"/>
          <w:szCs w:val="28"/>
        </w:rPr>
        <w:t xml:space="preserve">ΟΙΚΟΝΟΜΟΥ, Δ.: </w:t>
      </w:r>
      <w:r w:rsidRPr="005271D7">
        <w:rPr>
          <w:rStyle w:val="BodyTextChar"/>
          <w:sz w:val="28"/>
          <w:szCs w:val="28"/>
        </w:rPr>
        <w:t>Η ομόφωνη απόφαση του</w:t>
      </w:r>
      <w:r w:rsidRPr="005271D7">
        <w:rPr>
          <w:rStyle w:val="BodyTextChar"/>
          <w:sz w:val="28"/>
          <w:szCs w:val="28"/>
        </w:rPr>
        <w:br/>
        <w:t xml:space="preserve">Δικαστηρίου θα δοθεί από την </w:t>
      </w:r>
      <w:proofErr w:type="spellStart"/>
      <w:r w:rsidRPr="005271D7">
        <w:rPr>
          <w:rStyle w:val="BodyTextChar"/>
          <w:b/>
          <w:bCs/>
          <w:sz w:val="28"/>
          <w:szCs w:val="28"/>
        </w:rPr>
        <w:t>Καλλιγέρου</w:t>
      </w:r>
      <w:proofErr w:type="spellEnd"/>
      <w:r w:rsidRPr="005271D7">
        <w:rPr>
          <w:rStyle w:val="BodyTextChar"/>
          <w:b/>
          <w:bCs/>
          <w:sz w:val="28"/>
          <w:szCs w:val="28"/>
        </w:rPr>
        <w:t>, Δ.</w:t>
      </w:r>
    </w:p>
    <w:p w14:paraId="49EFEB6C" w14:textId="77777777" w:rsidR="00AD1936" w:rsidRPr="005271D7" w:rsidRDefault="00706794">
      <w:pPr>
        <w:pStyle w:val="BodyText"/>
        <w:spacing w:after="640"/>
        <w:jc w:val="center"/>
        <w:rPr>
          <w:sz w:val="28"/>
          <w:szCs w:val="28"/>
        </w:rPr>
      </w:pPr>
      <w:r w:rsidRPr="005271D7">
        <w:rPr>
          <w:rStyle w:val="BodyTextChar"/>
          <w:b/>
          <w:bCs/>
          <w:sz w:val="28"/>
          <w:szCs w:val="28"/>
          <w:u w:val="single"/>
        </w:rPr>
        <w:lastRenderedPageBreak/>
        <w:t>ΑΠΟΦΑΣΗ</w:t>
      </w:r>
    </w:p>
    <w:p w14:paraId="64BD44C4" w14:textId="280B6B38" w:rsidR="00B52A3A" w:rsidRDefault="00706794" w:rsidP="009513C4">
      <w:pPr>
        <w:spacing w:line="480" w:lineRule="auto"/>
        <w:ind w:firstLine="284"/>
        <w:jc w:val="both"/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5271D7">
        <w:rPr>
          <w:rStyle w:val="BodyTextChar"/>
          <w:b/>
          <w:bCs/>
          <w:sz w:val="28"/>
          <w:szCs w:val="28"/>
        </w:rPr>
        <w:t>ΚΑΛ</w:t>
      </w:r>
      <w:r w:rsidR="00273E03" w:rsidRPr="005271D7">
        <w:rPr>
          <w:rStyle w:val="BodyTextChar"/>
          <w:b/>
          <w:bCs/>
          <w:sz w:val="28"/>
          <w:szCs w:val="28"/>
        </w:rPr>
        <w:t>Λ</w:t>
      </w:r>
      <w:r w:rsidRPr="005271D7">
        <w:rPr>
          <w:rStyle w:val="BodyTextChar"/>
          <w:b/>
          <w:bCs/>
          <w:sz w:val="28"/>
          <w:szCs w:val="28"/>
        </w:rPr>
        <w:t>ΙΓΕΡΟΥ,</w:t>
      </w:r>
      <w:r w:rsidR="00273E03" w:rsidRPr="005271D7">
        <w:rPr>
          <w:rStyle w:val="BodyTextChar"/>
          <w:b/>
          <w:bCs/>
          <w:sz w:val="28"/>
          <w:szCs w:val="28"/>
        </w:rPr>
        <w:t xml:space="preserve"> </w:t>
      </w:r>
      <w:r w:rsidRPr="005271D7">
        <w:rPr>
          <w:rStyle w:val="BodyTextChar"/>
          <w:b/>
          <w:bCs/>
          <w:sz w:val="28"/>
          <w:szCs w:val="28"/>
        </w:rPr>
        <w:t xml:space="preserve">Δ.: 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Με την παρούσα έφεση προσβάλλεται η ορθότητα της εκκαλούμενης απόφασης του Διοικητικού Δικαστηρίου, με την οποία επικυρώθηκε </w:t>
      </w:r>
      <w:r w:rsidR="00B57E07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από το Δικαστήριο 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η απόφαση </w:t>
      </w:r>
      <w:r w:rsidR="001E64A8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«Βεβαίωση</w:t>
      </w:r>
      <w:r w:rsidR="001E64A8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ς</w:t>
      </w:r>
      <w:r w:rsidR="001E64A8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Φόρου»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, ημερομηνίας 12/9/</w:t>
      </w:r>
      <w:r w:rsid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20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12</w:t>
      </w:r>
      <w:r w:rsidR="001E64A8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,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με την οποία </w:t>
      </w:r>
      <w:r w:rsidR="00B57E07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είχε επιβληθεί 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στους </w:t>
      </w:r>
      <w:proofErr w:type="spellStart"/>
      <w:r w:rsidR="00B57E07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ε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φεσείοντες</w:t>
      </w:r>
      <w:proofErr w:type="spellEnd"/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70E1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φόρος</w:t>
      </w:r>
      <w:r w:rsidR="001E64A8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προστιθέμενης αξίας</w:t>
      </w:r>
      <w:r w:rsidR="001670E1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57E07">
        <w:rPr>
          <w:rFonts w:ascii="Bookman Old Style" w:hAnsi="Bookman Old Style"/>
          <w:sz w:val="28"/>
          <w:szCs w:val="28"/>
        </w:rPr>
        <w:t>(στο εξής «</w:t>
      </w:r>
      <w:proofErr w:type="spellStart"/>
      <w:r w:rsidR="00B57E07">
        <w:rPr>
          <w:rFonts w:ascii="Bookman Old Style" w:hAnsi="Bookman Old Style"/>
          <w:sz w:val="28"/>
          <w:szCs w:val="28"/>
        </w:rPr>
        <w:t>φ.π.α.</w:t>
      </w:r>
      <w:proofErr w:type="spellEnd"/>
      <w:r w:rsidR="00B57E07">
        <w:rPr>
          <w:rFonts w:ascii="Bookman Old Style" w:hAnsi="Bookman Old Style"/>
          <w:sz w:val="28"/>
          <w:szCs w:val="28"/>
        </w:rPr>
        <w:t xml:space="preserve">») </w:t>
      </w:r>
      <w:r w:rsidR="001670E1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για </w:t>
      </w:r>
      <w:r w:rsidR="001670E1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>το ποσό των €58.695,65</w:t>
      </w:r>
      <w:r w:rsidR="001E64A8">
        <w:rPr>
          <w:rFonts w:ascii="Bookman Old Style" w:hAnsi="Bookman Old Style"/>
          <w:sz w:val="28"/>
          <w:szCs w:val="28"/>
        </w:rPr>
        <w:t xml:space="preserve">, </w:t>
      </w:r>
      <w:r w:rsidR="00B52A3A" w:rsidRPr="00B52A3A">
        <w:rPr>
          <w:rFonts w:ascii="Bookman Old Style" w:eastAsiaTheme="minorHAnsi" w:hAnsi="Bookman Old Style" w:cstheme="minorBidi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για την ανέγερση και παράδοση έξι διαμερισμάτων που συνιστούσαν την αντιπαροχή επί μεριδίου ακινήτου που αγόρασαν. </w:t>
      </w:r>
    </w:p>
    <w:p w14:paraId="10107256" w14:textId="77777777" w:rsidR="00B52A3A" w:rsidRDefault="00B52A3A" w:rsidP="00B52A3A">
      <w:pPr>
        <w:spacing w:line="480" w:lineRule="auto"/>
        <w:ind w:firstLine="720"/>
        <w:jc w:val="both"/>
        <w:rPr>
          <w:rFonts w:ascii="Bookman Old Style" w:hAnsi="Bookman Old Style"/>
          <w:sz w:val="28"/>
          <w:szCs w:val="28"/>
        </w:rPr>
      </w:pPr>
    </w:p>
    <w:p w14:paraId="659E457F" w14:textId="77777777" w:rsidR="000C4ACE" w:rsidRDefault="00B52A3A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Σύμφωνα με το ιστορικό της υπόθεσης, </w:t>
      </w:r>
      <w:r w:rsidR="001E64A8">
        <w:rPr>
          <w:rFonts w:ascii="Bookman Old Style" w:hAnsi="Bookman Old Style"/>
          <w:sz w:val="28"/>
          <w:szCs w:val="28"/>
        </w:rPr>
        <w:t xml:space="preserve">όπως προκύπτει από τον διοικητικό φάκελο, </w:t>
      </w:r>
      <w:r>
        <w:rPr>
          <w:rFonts w:ascii="Bookman Old Style" w:hAnsi="Bookman Old Style"/>
          <w:sz w:val="28"/>
          <w:szCs w:val="28"/>
        </w:rPr>
        <w:t xml:space="preserve">οι </w:t>
      </w:r>
      <w:proofErr w:type="spellStart"/>
      <w:r>
        <w:rPr>
          <w:rFonts w:ascii="Bookman Old Style" w:hAnsi="Bookman Old Style"/>
          <w:sz w:val="28"/>
          <w:szCs w:val="28"/>
        </w:rPr>
        <w:t>εφεσείοντες</w:t>
      </w:r>
      <w:proofErr w:type="spellEnd"/>
      <w:r>
        <w:rPr>
          <w:rFonts w:ascii="Bookman Old Style" w:hAnsi="Bookman Old Style"/>
          <w:sz w:val="28"/>
          <w:szCs w:val="28"/>
        </w:rPr>
        <w:t xml:space="preserve"> είναι Κυπριακή εταιρεία περιορισμένης ευθύνης και ασχολείται με την αγορά και ανάπτυξη ακινήτων. Οι εφεσίβλητοι επέβαλαν φορολογία, </w:t>
      </w:r>
      <w:proofErr w:type="spellStart"/>
      <w:r>
        <w:rPr>
          <w:rFonts w:ascii="Bookman Old Style" w:hAnsi="Bookman Old Style"/>
          <w:sz w:val="28"/>
          <w:szCs w:val="28"/>
        </w:rPr>
        <w:t>φ.π.α.</w:t>
      </w:r>
      <w:proofErr w:type="spellEnd"/>
      <w:r>
        <w:rPr>
          <w:rFonts w:ascii="Bookman Old Style" w:hAnsi="Bookman Old Style"/>
          <w:sz w:val="28"/>
          <w:szCs w:val="28"/>
        </w:rPr>
        <w:t xml:space="preserve"> στους </w:t>
      </w:r>
      <w:proofErr w:type="spellStart"/>
      <w:r>
        <w:rPr>
          <w:rFonts w:ascii="Bookman Old Style" w:hAnsi="Bookman Old Style"/>
          <w:sz w:val="28"/>
          <w:szCs w:val="28"/>
        </w:rPr>
        <w:t>εφεσείοντες</w:t>
      </w:r>
      <w:proofErr w:type="spellEnd"/>
      <w:r>
        <w:rPr>
          <w:rFonts w:ascii="Bookman Old Style" w:hAnsi="Bookman Old Style"/>
          <w:sz w:val="28"/>
          <w:szCs w:val="28"/>
        </w:rPr>
        <w:t xml:space="preserve"> και οι </w:t>
      </w:r>
      <w:proofErr w:type="spellStart"/>
      <w:r>
        <w:rPr>
          <w:rFonts w:ascii="Bookman Old Style" w:hAnsi="Bookman Old Style"/>
          <w:sz w:val="28"/>
          <w:szCs w:val="28"/>
        </w:rPr>
        <w:t>εφεσείοντες</w:t>
      </w:r>
      <w:proofErr w:type="spellEnd"/>
      <w:r>
        <w:rPr>
          <w:rFonts w:ascii="Bookman Old Style" w:hAnsi="Bookman Old Style"/>
          <w:sz w:val="28"/>
          <w:szCs w:val="28"/>
        </w:rPr>
        <w:t xml:space="preserve"> αμφισβήτησαν την εγκυρότητα της φορολογίας με την προσφυγή 1909/2012</w:t>
      </w:r>
      <w:r w:rsidR="000C4ACE" w:rsidRPr="000C4ACE">
        <w:rPr>
          <w:rFonts w:ascii="Bookman Old Style" w:hAnsi="Bookman Old Style"/>
          <w:sz w:val="28"/>
          <w:szCs w:val="28"/>
        </w:rPr>
        <w:t>,</w:t>
      </w:r>
      <w:r w:rsidR="001E64A8">
        <w:rPr>
          <w:rFonts w:ascii="Bookman Old Style" w:hAnsi="Bookman Old Style"/>
          <w:sz w:val="28"/>
          <w:szCs w:val="28"/>
        </w:rPr>
        <w:t xml:space="preserve"> ενώ προηγουμένως, και </w:t>
      </w:r>
      <w:r>
        <w:rPr>
          <w:rFonts w:ascii="Bookman Old Style" w:hAnsi="Bookman Old Style"/>
          <w:sz w:val="28"/>
          <w:szCs w:val="28"/>
        </w:rPr>
        <w:t xml:space="preserve">πριν την καταχώριση της </w:t>
      </w:r>
      <w:proofErr w:type="spellStart"/>
      <w:r w:rsidR="00B57E07">
        <w:rPr>
          <w:rFonts w:ascii="Bookman Old Style" w:hAnsi="Bookman Old Style"/>
          <w:sz w:val="28"/>
          <w:szCs w:val="28"/>
        </w:rPr>
        <w:t>ρηθείσας</w:t>
      </w:r>
      <w:proofErr w:type="spellEnd"/>
      <w:r w:rsidR="00B57E0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προσφυγής</w:t>
      </w:r>
      <w:r w:rsidR="000C4ACE" w:rsidRPr="000C4ACE">
        <w:rPr>
          <w:rFonts w:ascii="Bookman Old Style" w:hAnsi="Bookman Old Style"/>
          <w:sz w:val="28"/>
          <w:szCs w:val="28"/>
        </w:rPr>
        <w:t xml:space="preserve"> </w:t>
      </w:r>
      <w:r w:rsidR="000C4ACE">
        <w:rPr>
          <w:rFonts w:ascii="Bookman Old Style" w:hAnsi="Bookman Old Style"/>
          <w:sz w:val="28"/>
          <w:szCs w:val="28"/>
        </w:rPr>
        <w:t>τους στο Δικαστήριο</w:t>
      </w:r>
      <w:r>
        <w:rPr>
          <w:rFonts w:ascii="Bookman Old Style" w:hAnsi="Bookman Old Style"/>
          <w:sz w:val="28"/>
          <w:szCs w:val="28"/>
        </w:rPr>
        <w:t xml:space="preserve">, είχαν υποβάλει ένσταση στην φορολογία. </w:t>
      </w:r>
    </w:p>
    <w:p w14:paraId="4F004B61" w14:textId="77777777" w:rsidR="000C4ACE" w:rsidRDefault="000C4ACE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</w:p>
    <w:p w14:paraId="03AB11A0" w14:textId="77777777" w:rsidR="00993F5D" w:rsidRDefault="00B52A3A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Εκκρεμούσης</w:t>
      </w:r>
      <w:proofErr w:type="spellEnd"/>
      <w:r>
        <w:rPr>
          <w:rFonts w:ascii="Bookman Old Style" w:hAnsi="Bookman Old Style"/>
          <w:sz w:val="28"/>
          <w:szCs w:val="28"/>
        </w:rPr>
        <w:t xml:space="preserve"> της προσφυγής</w:t>
      </w:r>
      <w:r w:rsidR="000C4ACE">
        <w:rPr>
          <w:rFonts w:ascii="Bookman Old Style" w:hAnsi="Bookman Old Style"/>
          <w:sz w:val="28"/>
          <w:szCs w:val="28"/>
        </w:rPr>
        <w:t xml:space="preserve"> τους στο Ανώτατο Δικαστήριο</w:t>
      </w:r>
      <w:r>
        <w:rPr>
          <w:rFonts w:ascii="Bookman Old Style" w:hAnsi="Bookman Old Style"/>
          <w:sz w:val="28"/>
          <w:szCs w:val="28"/>
        </w:rPr>
        <w:t xml:space="preserve">, οι </w:t>
      </w:r>
      <w:r>
        <w:rPr>
          <w:rFonts w:ascii="Bookman Old Style" w:hAnsi="Bookman Old Style"/>
          <w:sz w:val="28"/>
          <w:szCs w:val="28"/>
        </w:rPr>
        <w:lastRenderedPageBreak/>
        <w:t xml:space="preserve">εφεσίβλητοι απέρριψαν την ένσταση των </w:t>
      </w:r>
      <w:proofErr w:type="spellStart"/>
      <w:r>
        <w:rPr>
          <w:rFonts w:ascii="Bookman Old Style" w:hAnsi="Bookman Old Style"/>
          <w:sz w:val="28"/>
          <w:szCs w:val="28"/>
        </w:rPr>
        <w:t>εφεσειόντων</w:t>
      </w:r>
      <w:proofErr w:type="spellEnd"/>
      <w:r w:rsidR="001E64A8">
        <w:rPr>
          <w:rFonts w:ascii="Bookman Old Style" w:hAnsi="Bookman Old Style"/>
          <w:sz w:val="28"/>
          <w:szCs w:val="28"/>
        </w:rPr>
        <w:t xml:space="preserve">, απόφαση που κοινοποιήθηκε σε αυτούς με </w:t>
      </w:r>
      <w:r w:rsidR="00B57E07">
        <w:rPr>
          <w:rFonts w:ascii="Bookman Old Style" w:hAnsi="Bookman Old Style"/>
          <w:sz w:val="28"/>
          <w:szCs w:val="28"/>
        </w:rPr>
        <w:t xml:space="preserve">σχετική </w:t>
      </w:r>
      <w:r w:rsidR="001E64A8">
        <w:rPr>
          <w:rFonts w:ascii="Bookman Old Style" w:hAnsi="Bookman Old Style"/>
          <w:sz w:val="28"/>
          <w:szCs w:val="28"/>
        </w:rPr>
        <w:t>επιστολή ημερομηνίας 23/5/2013</w:t>
      </w:r>
      <w:r w:rsidR="000C4ACE">
        <w:rPr>
          <w:rFonts w:ascii="Bookman Old Style" w:hAnsi="Bookman Old Style"/>
          <w:sz w:val="28"/>
          <w:szCs w:val="28"/>
        </w:rPr>
        <w:t>, γεγονός που δεν αμφισβητήθηκε</w:t>
      </w:r>
      <w:r w:rsidR="001E64A8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4410A27B" w14:textId="77777777" w:rsidR="00993F5D" w:rsidRDefault="00993F5D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</w:p>
    <w:p w14:paraId="067D8D95" w14:textId="54CFD44E" w:rsidR="009513C4" w:rsidRDefault="00C3348C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Οι εφεσίβλητοι προέβαλαν προδικαστικ</w:t>
      </w:r>
      <w:r w:rsidR="001E64A8">
        <w:rPr>
          <w:rFonts w:ascii="Bookman Old Style" w:hAnsi="Bookman Old Style"/>
          <w:sz w:val="28"/>
          <w:szCs w:val="28"/>
        </w:rPr>
        <w:t>ή ένσταση στην προσφυγή περί του απαράδεκτου αυτής, υ</w:t>
      </w:r>
      <w:r>
        <w:rPr>
          <w:rFonts w:ascii="Bookman Old Style" w:hAnsi="Bookman Old Style"/>
          <w:sz w:val="28"/>
          <w:szCs w:val="28"/>
        </w:rPr>
        <w:t xml:space="preserve">ποστηρίζοντας ότι στις περιπτώσεις που </w:t>
      </w:r>
      <w:r w:rsidR="001E64A8">
        <w:rPr>
          <w:rFonts w:ascii="Bookman Old Style" w:hAnsi="Bookman Old Style"/>
          <w:sz w:val="28"/>
          <w:szCs w:val="28"/>
        </w:rPr>
        <w:t>έχει καταχωρηθεί</w:t>
      </w:r>
      <w:r>
        <w:rPr>
          <w:rFonts w:ascii="Bookman Old Style" w:hAnsi="Bookman Old Style"/>
          <w:sz w:val="28"/>
          <w:szCs w:val="28"/>
        </w:rPr>
        <w:t xml:space="preserve"> ένσταση, δεν χωρεί προσφυγή </w:t>
      </w:r>
      <w:r w:rsidR="001E64A8">
        <w:rPr>
          <w:rFonts w:ascii="Bookman Old Style" w:hAnsi="Bookman Old Style"/>
          <w:sz w:val="28"/>
          <w:szCs w:val="28"/>
        </w:rPr>
        <w:t xml:space="preserve">πριν την απόφαση επί της ενστάσεως, η οποία σε τέτοιες περιπτώσεις είναι και η μόνη </w:t>
      </w:r>
      <w:r>
        <w:rPr>
          <w:rFonts w:ascii="Bookman Old Style" w:hAnsi="Bookman Old Style"/>
          <w:sz w:val="28"/>
          <w:szCs w:val="28"/>
        </w:rPr>
        <w:t>εκτελεστή διοικητική πράξη</w:t>
      </w:r>
      <w:r w:rsidR="00B57E07">
        <w:rPr>
          <w:rFonts w:ascii="Bookman Old Style" w:hAnsi="Bookman Old Style"/>
          <w:sz w:val="28"/>
          <w:szCs w:val="28"/>
        </w:rPr>
        <w:t>. Η προδικαστική ένσταση</w:t>
      </w:r>
      <w:r w:rsidR="001E64A8">
        <w:rPr>
          <w:rFonts w:ascii="Bookman Old Style" w:hAnsi="Bookman Old Style"/>
          <w:sz w:val="28"/>
          <w:szCs w:val="28"/>
        </w:rPr>
        <w:t xml:space="preserve"> έγινε δεκτή από το Δικαστήριο</w:t>
      </w:r>
      <w:r w:rsidR="00B57E07">
        <w:rPr>
          <w:rFonts w:ascii="Bookman Old Style" w:hAnsi="Bookman Old Style"/>
          <w:sz w:val="28"/>
          <w:szCs w:val="28"/>
        </w:rPr>
        <w:t xml:space="preserve"> και η προσφυγή απορρίφθηκε</w:t>
      </w:r>
      <w:r w:rsidR="001E64A8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7D5CCC66" w14:textId="77777777" w:rsidR="001E64A8" w:rsidRDefault="001E64A8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</w:p>
    <w:p w14:paraId="77335812" w14:textId="4D3622F9" w:rsidR="000C4ACE" w:rsidRDefault="001E64A8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Με την έφεσή τους οι </w:t>
      </w:r>
      <w:proofErr w:type="spellStart"/>
      <w:r>
        <w:rPr>
          <w:rFonts w:ascii="Bookman Old Style" w:hAnsi="Bookman Old Style"/>
          <w:sz w:val="28"/>
          <w:szCs w:val="28"/>
        </w:rPr>
        <w:t>εφεσείοντες</w:t>
      </w:r>
      <w:proofErr w:type="spellEnd"/>
      <w:r>
        <w:rPr>
          <w:rFonts w:ascii="Bookman Old Style" w:hAnsi="Bookman Old Style"/>
          <w:sz w:val="28"/>
          <w:szCs w:val="28"/>
        </w:rPr>
        <w:t xml:space="preserve"> πρόβαλαν δύο λόγους εφέσεως</w:t>
      </w:r>
      <w:r w:rsidR="00B57E0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εκ των οποίων ο πρώτος αποσύρθηκε ρητώς</w:t>
      </w:r>
      <w:r w:rsidR="00B57E07">
        <w:rPr>
          <w:rFonts w:ascii="Bookman Old Style" w:hAnsi="Bookman Old Style"/>
          <w:sz w:val="28"/>
          <w:szCs w:val="28"/>
        </w:rPr>
        <w:t xml:space="preserve"> στο περίγραμμα </w:t>
      </w:r>
      <w:proofErr w:type="spellStart"/>
      <w:r w:rsidR="00B57E07">
        <w:rPr>
          <w:rFonts w:ascii="Bookman Old Style" w:hAnsi="Bookman Old Style"/>
          <w:sz w:val="28"/>
          <w:szCs w:val="28"/>
        </w:rPr>
        <w:t>εφεσειόντων</w:t>
      </w:r>
      <w:proofErr w:type="spellEnd"/>
      <w:r w:rsidR="000C4ACE">
        <w:rPr>
          <w:rFonts w:ascii="Bookman Old Style" w:hAnsi="Bookman Old Style"/>
          <w:sz w:val="28"/>
          <w:szCs w:val="28"/>
        </w:rPr>
        <w:t xml:space="preserve"> και ως εκ τούτου απορρίπτεται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7FEF5E5" w14:textId="77777777" w:rsidR="000C4ACE" w:rsidRDefault="000C4ACE" w:rsidP="001E64A8">
      <w:pPr>
        <w:spacing w:line="480" w:lineRule="auto"/>
        <w:ind w:firstLine="284"/>
        <w:jc w:val="both"/>
        <w:rPr>
          <w:rFonts w:ascii="Bookman Old Style" w:hAnsi="Bookman Old Style"/>
          <w:sz w:val="28"/>
          <w:szCs w:val="28"/>
        </w:rPr>
      </w:pPr>
    </w:p>
    <w:p w14:paraId="27D4D984" w14:textId="17704DCC" w:rsidR="005138CD" w:rsidRDefault="001E64A8" w:rsidP="000C4ACE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Σύμφωνα με τον </w:t>
      </w:r>
      <w:r w:rsidR="001670E1" w:rsidRPr="00B57E07">
        <w:rPr>
          <w:rStyle w:val="BodyTextChar"/>
          <w:sz w:val="28"/>
          <w:szCs w:val="28"/>
        </w:rPr>
        <w:t>δεύτερο λόγο έφεσης</w:t>
      </w:r>
      <w:r w:rsidR="001670E1">
        <w:rPr>
          <w:rStyle w:val="BodyTextChar"/>
          <w:sz w:val="28"/>
          <w:szCs w:val="28"/>
        </w:rPr>
        <w:t>, τ</w:t>
      </w:r>
      <w:r w:rsidR="00597C77">
        <w:rPr>
          <w:rStyle w:val="BodyTextChar"/>
          <w:sz w:val="28"/>
          <w:szCs w:val="28"/>
        </w:rPr>
        <w:t xml:space="preserve">ο πρωτόδικο </w:t>
      </w:r>
      <w:r>
        <w:rPr>
          <w:rStyle w:val="BodyTextChar"/>
          <w:sz w:val="28"/>
          <w:szCs w:val="28"/>
        </w:rPr>
        <w:t xml:space="preserve">Δικαστήριο </w:t>
      </w:r>
      <w:r w:rsidR="00597C77">
        <w:rPr>
          <w:rStyle w:val="BodyTextChar"/>
          <w:sz w:val="28"/>
          <w:szCs w:val="28"/>
        </w:rPr>
        <w:t>εσφαλμένα έκρινε ότι η προδικαστική ένσταση ήτο βάσιμη και μοιραία για την προσφυγή</w:t>
      </w:r>
      <w:r>
        <w:rPr>
          <w:rStyle w:val="BodyTextChar"/>
          <w:sz w:val="28"/>
          <w:szCs w:val="28"/>
        </w:rPr>
        <w:t>,</w:t>
      </w:r>
      <w:r w:rsidR="00597C77">
        <w:rPr>
          <w:rStyle w:val="BodyTextChar"/>
          <w:sz w:val="28"/>
          <w:szCs w:val="28"/>
        </w:rPr>
        <w:t xml:space="preserve"> επειδή </w:t>
      </w:r>
      <w:r w:rsidR="000C4ACE">
        <w:rPr>
          <w:rStyle w:val="BodyTextChar"/>
          <w:sz w:val="28"/>
          <w:szCs w:val="28"/>
        </w:rPr>
        <w:t xml:space="preserve">οι </w:t>
      </w:r>
      <w:proofErr w:type="spellStart"/>
      <w:r w:rsidR="000C4ACE">
        <w:rPr>
          <w:rStyle w:val="BodyTextChar"/>
          <w:sz w:val="28"/>
          <w:szCs w:val="28"/>
        </w:rPr>
        <w:t>εφεσείοντες</w:t>
      </w:r>
      <w:proofErr w:type="spellEnd"/>
      <w:r w:rsidR="00597C77">
        <w:rPr>
          <w:rStyle w:val="BodyTextChar"/>
          <w:sz w:val="28"/>
          <w:szCs w:val="28"/>
        </w:rPr>
        <w:t xml:space="preserve"> είχ</w:t>
      </w:r>
      <w:r w:rsidR="000C4ACE">
        <w:rPr>
          <w:rStyle w:val="BodyTextChar"/>
          <w:sz w:val="28"/>
          <w:szCs w:val="28"/>
        </w:rPr>
        <w:t>αν</w:t>
      </w:r>
      <w:r w:rsidR="00597C77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πριν την καταχώρισή της υποβάλει </w:t>
      </w:r>
      <w:r w:rsidR="00597C77">
        <w:rPr>
          <w:rStyle w:val="BodyTextChar"/>
          <w:sz w:val="28"/>
          <w:szCs w:val="28"/>
        </w:rPr>
        <w:t xml:space="preserve">ένσταση επί της </w:t>
      </w:r>
      <w:proofErr w:type="spellStart"/>
      <w:r w:rsidR="00597C77">
        <w:rPr>
          <w:rStyle w:val="BodyTextChar"/>
          <w:sz w:val="28"/>
          <w:szCs w:val="28"/>
        </w:rPr>
        <w:t>επιβληθείσας</w:t>
      </w:r>
      <w:proofErr w:type="spellEnd"/>
      <w:r w:rsidR="00597C77">
        <w:rPr>
          <w:rStyle w:val="BodyTextChar"/>
          <w:sz w:val="28"/>
          <w:szCs w:val="28"/>
        </w:rPr>
        <w:t xml:space="preserve"> φορολογίας και ότι </w:t>
      </w:r>
      <w:proofErr w:type="spellStart"/>
      <w:r w:rsidR="00597C77">
        <w:rPr>
          <w:rStyle w:val="BodyTextChar"/>
          <w:sz w:val="28"/>
          <w:szCs w:val="28"/>
        </w:rPr>
        <w:t>εστερ</w:t>
      </w:r>
      <w:r w:rsidR="000C4ACE">
        <w:rPr>
          <w:rStyle w:val="BodyTextChar"/>
          <w:sz w:val="28"/>
          <w:szCs w:val="28"/>
        </w:rPr>
        <w:t>ούντο</w:t>
      </w:r>
      <w:proofErr w:type="spellEnd"/>
      <w:r w:rsidR="00597C77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πλέον </w:t>
      </w:r>
      <w:r w:rsidR="00597C77">
        <w:rPr>
          <w:rStyle w:val="BodyTextChar"/>
          <w:sz w:val="28"/>
          <w:szCs w:val="28"/>
        </w:rPr>
        <w:t>του δικαιώματος να προσβάλ</w:t>
      </w:r>
      <w:r w:rsidR="000C4ACE">
        <w:rPr>
          <w:rStyle w:val="BodyTextChar"/>
          <w:sz w:val="28"/>
          <w:szCs w:val="28"/>
        </w:rPr>
        <w:t>ουν</w:t>
      </w:r>
      <w:r w:rsidR="00597C77">
        <w:rPr>
          <w:rStyle w:val="BodyTextChar"/>
          <w:sz w:val="28"/>
          <w:szCs w:val="28"/>
        </w:rPr>
        <w:t xml:space="preserve"> με προσφυγή την επίδικη </w:t>
      </w:r>
      <w:r w:rsidR="00597C77">
        <w:rPr>
          <w:rStyle w:val="BodyTextChar"/>
          <w:sz w:val="28"/>
          <w:szCs w:val="28"/>
        </w:rPr>
        <w:lastRenderedPageBreak/>
        <w:t>διοικητική πράξη</w:t>
      </w:r>
      <w:r w:rsidR="00597C77" w:rsidRPr="00597C77">
        <w:rPr>
          <w:rStyle w:val="BodyTextChar"/>
          <w:sz w:val="28"/>
          <w:szCs w:val="28"/>
        </w:rPr>
        <w:t>.</w:t>
      </w:r>
      <w:r w:rsidR="00597C77">
        <w:rPr>
          <w:rStyle w:val="BodyTextChar"/>
          <w:sz w:val="28"/>
          <w:szCs w:val="28"/>
        </w:rPr>
        <w:t xml:space="preserve"> </w:t>
      </w:r>
      <w:r w:rsidR="005138CD">
        <w:rPr>
          <w:rStyle w:val="BodyTextChar"/>
          <w:sz w:val="28"/>
          <w:szCs w:val="28"/>
        </w:rPr>
        <w:t xml:space="preserve">Όπως είχαν </w:t>
      </w:r>
      <w:r w:rsidR="000C4ACE">
        <w:rPr>
          <w:rStyle w:val="BodyTextChar"/>
          <w:sz w:val="28"/>
          <w:szCs w:val="28"/>
        </w:rPr>
        <w:t xml:space="preserve">και πρωτόδικα </w:t>
      </w:r>
      <w:r w:rsidR="005138CD">
        <w:rPr>
          <w:rStyle w:val="BodyTextChar"/>
          <w:sz w:val="28"/>
          <w:szCs w:val="28"/>
        </w:rPr>
        <w:t xml:space="preserve">υποστηρίξει οι δικηγόροι των </w:t>
      </w:r>
      <w:proofErr w:type="spellStart"/>
      <w:r w:rsidR="005138CD">
        <w:rPr>
          <w:rStyle w:val="BodyTextChar"/>
          <w:sz w:val="28"/>
          <w:szCs w:val="28"/>
        </w:rPr>
        <w:t>εφεσειόντων</w:t>
      </w:r>
      <w:proofErr w:type="spellEnd"/>
      <w:r w:rsidR="005138CD">
        <w:rPr>
          <w:rStyle w:val="BodyTextChar"/>
          <w:sz w:val="28"/>
          <w:szCs w:val="28"/>
        </w:rPr>
        <w:t xml:space="preserve">, </w:t>
      </w:r>
      <w:proofErr w:type="spellStart"/>
      <w:r w:rsidR="000C4ACE">
        <w:rPr>
          <w:rStyle w:val="BodyTextChar"/>
          <w:sz w:val="28"/>
          <w:szCs w:val="28"/>
        </w:rPr>
        <w:t>επανέφεραν</w:t>
      </w:r>
      <w:proofErr w:type="spellEnd"/>
      <w:r w:rsidR="000C4ACE">
        <w:rPr>
          <w:rStyle w:val="BodyTextChar"/>
          <w:sz w:val="28"/>
          <w:szCs w:val="28"/>
        </w:rPr>
        <w:t xml:space="preserve"> </w:t>
      </w:r>
      <w:r w:rsidR="005138CD">
        <w:rPr>
          <w:rStyle w:val="BodyTextChar"/>
          <w:sz w:val="28"/>
          <w:szCs w:val="28"/>
        </w:rPr>
        <w:t xml:space="preserve">ενώπιον </w:t>
      </w:r>
      <w:r w:rsidR="000C4ACE">
        <w:rPr>
          <w:rStyle w:val="BodyTextChar"/>
          <w:sz w:val="28"/>
          <w:szCs w:val="28"/>
        </w:rPr>
        <w:t>μας τους</w:t>
      </w:r>
      <w:r w:rsidR="005138CD">
        <w:rPr>
          <w:rStyle w:val="BodyTextChar"/>
          <w:sz w:val="28"/>
          <w:szCs w:val="28"/>
        </w:rPr>
        <w:t xml:space="preserve"> ισχυρισμούς </w:t>
      </w:r>
      <w:r w:rsidR="000C4ACE">
        <w:rPr>
          <w:rStyle w:val="BodyTextChar"/>
          <w:sz w:val="28"/>
          <w:szCs w:val="28"/>
        </w:rPr>
        <w:t xml:space="preserve">τους </w:t>
      </w:r>
      <w:r w:rsidR="005138CD">
        <w:rPr>
          <w:rStyle w:val="BodyTextChar"/>
          <w:sz w:val="28"/>
          <w:szCs w:val="28"/>
        </w:rPr>
        <w:t>σε σχέση με το κατάλοιπο ζημίας από την έκδοση της διοικητικής απόφασης</w:t>
      </w:r>
      <w:r w:rsidR="000C4ACE">
        <w:rPr>
          <w:rStyle w:val="BodyTextChar"/>
          <w:sz w:val="28"/>
          <w:szCs w:val="28"/>
        </w:rPr>
        <w:t>,</w:t>
      </w:r>
      <w:r w:rsidR="005138CD">
        <w:rPr>
          <w:rStyle w:val="BodyTextChar"/>
          <w:sz w:val="28"/>
          <w:szCs w:val="28"/>
        </w:rPr>
        <w:t xml:space="preserve"> </w:t>
      </w:r>
      <w:r w:rsidR="00B57E07">
        <w:rPr>
          <w:rStyle w:val="BodyTextChar"/>
          <w:sz w:val="28"/>
          <w:szCs w:val="28"/>
        </w:rPr>
        <w:t>το οποίο</w:t>
      </w:r>
      <w:r w:rsidR="005138CD">
        <w:rPr>
          <w:rStyle w:val="BodyTextChar"/>
          <w:sz w:val="28"/>
          <w:szCs w:val="28"/>
        </w:rPr>
        <w:t xml:space="preserve"> επιτρέπει βάσ</w:t>
      </w:r>
      <w:r w:rsidR="00B57E07">
        <w:rPr>
          <w:rStyle w:val="BodyTextChar"/>
          <w:sz w:val="28"/>
          <w:szCs w:val="28"/>
        </w:rPr>
        <w:t>ει</w:t>
      </w:r>
      <w:r w:rsidR="005138CD">
        <w:rPr>
          <w:rStyle w:val="BodyTextChar"/>
          <w:sz w:val="28"/>
          <w:szCs w:val="28"/>
        </w:rPr>
        <w:t xml:space="preserve"> της νομολογίας του </w:t>
      </w:r>
      <w:proofErr w:type="spellStart"/>
      <w:r w:rsidR="005138CD">
        <w:rPr>
          <w:rStyle w:val="BodyTextChar"/>
          <w:sz w:val="28"/>
          <w:szCs w:val="28"/>
        </w:rPr>
        <w:t>Ανωτάτου</w:t>
      </w:r>
      <w:proofErr w:type="spellEnd"/>
      <w:r w:rsidR="005138CD">
        <w:rPr>
          <w:rStyle w:val="BodyTextChar"/>
          <w:sz w:val="28"/>
          <w:szCs w:val="28"/>
        </w:rPr>
        <w:t xml:space="preserve"> Δικαστηρίου να </w:t>
      </w:r>
      <w:r w:rsidR="00993F5D">
        <w:rPr>
          <w:rStyle w:val="BodyTextChar"/>
          <w:sz w:val="28"/>
          <w:szCs w:val="28"/>
        </w:rPr>
        <w:t xml:space="preserve">συνεχίσει η εκδίκαση της </w:t>
      </w:r>
      <w:r w:rsidR="005138CD">
        <w:rPr>
          <w:rStyle w:val="BodyTextChar"/>
          <w:sz w:val="28"/>
          <w:szCs w:val="28"/>
        </w:rPr>
        <w:t>προσφυγή</w:t>
      </w:r>
      <w:r w:rsidR="00993F5D">
        <w:rPr>
          <w:rStyle w:val="BodyTextChar"/>
          <w:sz w:val="28"/>
          <w:szCs w:val="28"/>
        </w:rPr>
        <w:t>ς</w:t>
      </w:r>
      <w:r w:rsidR="00B57E07">
        <w:rPr>
          <w:rStyle w:val="BodyTextChar"/>
          <w:sz w:val="28"/>
          <w:szCs w:val="28"/>
        </w:rPr>
        <w:t>,</w:t>
      </w:r>
      <w:r w:rsidR="005138CD">
        <w:rPr>
          <w:rStyle w:val="BodyTextChar"/>
          <w:sz w:val="28"/>
          <w:szCs w:val="28"/>
        </w:rPr>
        <w:t xml:space="preserve"> ανεξάρτητα εάν η απόφαση η οποία έχει προσβληθεί με ένσταση και</w:t>
      </w:r>
      <w:r w:rsidR="000C4ACE">
        <w:rPr>
          <w:rStyle w:val="BodyTextChar"/>
          <w:sz w:val="28"/>
          <w:szCs w:val="28"/>
        </w:rPr>
        <w:t>/</w:t>
      </w:r>
      <w:r w:rsidR="005138CD">
        <w:rPr>
          <w:rStyle w:val="BodyTextChar"/>
          <w:sz w:val="28"/>
          <w:szCs w:val="28"/>
        </w:rPr>
        <w:t xml:space="preserve">ή ιεραρχική προσφυγή έχασε στη συνέχεια την </w:t>
      </w:r>
      <w:proofErr w:type="spellStart"/>
      <w:r w:rsidR="005138CD">
        <w:rPr>
          <w:rStyle w:val="BodyTextChar"/>
          <w:sz w:val="28"/>
          <w:szCs w:val="28"/>
        </w:rPr>
        <w:t>εκτελεστότητά</w:t>
      </w:r>
      <w:proofErr w:type="spellEnd"/>
      <w:r w:rsidR="005138CD">
        <w:rPr>
          <w:rStyle w:val="BodyTextChar"/>
          <w:sz w:val="28"/>
          <w:szCs w:val="28"/>
        </w:rPr>
        <w:t xml:space="preserve"> </w:t>
      </w:r>
      <w:r w:rsidR="000C4ACE">
        <w:rPr>
          <w:rStyle w:val="BodyTextChar"/>
          <w:sz w:val="28"/>
          <w:szCs w:val="28"/>
        </w:rPr>
        <w:t>της,</w:t>
      </w:r>
      <w:r w:rsidR="005138CD">
        <w:rPr>
          <w:rStyle w:val="BodyTextChar"/>
          <w:sz w:val="28"/>
          <w:szCs w:val="28"/>
        </w:rPr>
        <w:t xml:space="preserve"> λόγω της έκδοσης απόφασης επί της ενστάσεως. Ειδικότερα, κάλεσαν το Δικαστήριο να υιοθετήσει τα </w:t>
      </w:r>
      <w:r w:rsidR="00B57E07">
        <w:rPr>
          <w:rStyle w:val="BodyTextChar"/>
          <w:sz w:val="28"/>
          <w:szCs w:val="28"/>
        </w:rPr>
        <w:t xml:space="preserve">πορίσματα από την απόφαση της Ολομέλειας του </w:t>
      </w:r>
      <w:proofErr w:type="spellStart"/>
      <w:r w:rsidR="00B57E07">
        <w:rPr>
          <w:rStyle w:val="BodyTextChar"/>
          <w:sz w:val="28"/>
          <w:szCs w:val="28"/>
        </w:rPr>
        <w:t>Ανωτάτου</w:t>
      </w:r>
      <w:proofErr w:type="spellEnd"/>
      <w:r w:rsidR="00B57E07">
        <w:rPr>
          <w:rStyle w:val="BodyTextChar"/>
          <w:sz w:val="28"/>
          <w:szCs w:val="28"/>
        </w:rPr>
        <w:t xml:space="preserve"> Δικαστηρίου </w:t>
      </w:r>
      <w:r w:rsidR="005138CD" w:rsidRPr="005138CD">
        <w:rPr>
          <w:rStyle w:val="BodyTextChar"/>
          <w:b/>
          <w:bCs/>
          <w:i/>
          <w:iCs/>
          <w:sz w:val="28"/>
          <w:szCs w:val="28"/>
        </w:rPr>
        <w:t>Δημοκρατία</w:t>
      </w:r>
      <w:r w:rsidR="00B57E07">
        <w:rPr>
          <w:rStyle w:val="BodyTextChar"/>
          <w:b/>
          <w:bCs/>
          <w:i/>
          <w:iCs/>
          <w:sz w:val="28"/>
          <w:szCs w:val="28"/>
        </w:rPr>
        <w:t>ς</w:t>
      </w:r>
      <w:r w:rsidR="005138CD" w:rsidRPr="005138CD">
        <w:rPr>
          <w:rStyle w:val="BodyTextChar"/>
          <w:b/>
          <w:bCs/>
          <w:i/>
          <w:iCs/>
          <w:sz w:val="28"/>
          <w:szCs w:val="28"/>
        </w:rPr>
        <w:t xml:space="preserve"> ν. Γ. Ματθαίου (1990) 3 Α.Α.Δ. 2452</w:t>
      </w:r>
      <w:r w:rsidR="005138CD">
        <w:rPr>
          <w:rStyle w:val="BodyTextChar"/>
          <w:sz w:val="28"/>
          <w:szCs w:val="28"/>
        </w:rPr>
        <w:t>, υποστηρίζοντας ότι όπως και σε εκείνη την περίπτωση</w:t>
      </w:r>
      <w:r w:rsidR="000C4ACE">
        <w:rPr>
          <w:rStyle w:val="BodyTextChar"/>
          <w:sz w:val="28"/>
          <w:szCs w:val="28"/>
        </w:rPr>
        <w:t xml:space="preserve"> ίσχυσε,</w:t>
      </w:r>
      <w:r w:rsidR="005138CD">
        <w:rPr>
          <w:rStyle w:val="BodyTextChar"/>
          <w:sz w:val="28"/>
          <w:szCs w:val="28"/>
        </w:rPr>
        <w:t xml:space="preserve"> </w:t>
      </w:r>
      <w:r w:rsidR="00B57E07">
        <w:rPr>
          <w:rStyle w:val="BodyTextChar"/>
          <w:sz w:val="28"/>
          <w:szCs w:val="28"/>
        </w:rPr>
        <w:t xml:space="preserve">όπου </w:t>
      </w:r>
      <w:r w:rsidR="005138CD">
        <w:rPr>
          <w:rStyle w:val="BodyTextChar"/>
          <w:sz w:val="28"/>
          <w:szCs w:val="28"/>
        </w:rPr>
        <w:t>παρά τη συγχώνευση της αρχικής απόφασης στην δεύτερη (</w:t>
      </w:r>
      <w:r w:rsidR="000C4ACE">
        <w:rPr>
          <w:rStyle w:val="BodyTextChar"/>
          <w:sz w:val="28"/>
          <w:szCs w:val="28"/>
        </w:rPr>
        <w:t xml:space="preserve">την </w:t>
      </w:r>
      <w:r w:rsidR="005138CD">
        <w:rPr>
          <w:rStyle w:val="BodyTextChar"/>
          <w:sz w:val="28"/>
          <w:szCs w:val="28"/>
        </w:rPr>
        <w:t>απόφαση</w:t>
      </w:r>
      <w:r w:rsidR="000C4ACE">
        <w:rPr>
          <w:rStyle w:val="BodyTextChar"/>
          <w:sz w:val="28"/>
          <w:szCs w:val="28"/>
        </w:rPr>
        <w:t xml:space="preserve"> δηλαδή</w:t>
      </w:r>
      <w:r w:rsidR="005138CD">
        <w:rPr>
          <w:rStyle w:val="BodyTextChar"/>
          <w:sz w:val="28"/>
          <w:szCs w:val="28"/>
        </w:rPr>
        <w:t xml:space="preserve"> επί της ενστάσεως), το Δικαστήριο</w:t>
      </w:r>
      <w:r w:rsidR="00993F5D">
        <w:rPr>
          <w:rStyle w:val="BodyTextChar"/>
          <w:sz w:val="28"/>
          <w:szCs w:val="28"/>
        </w:rPr>
        <w:t xml:space="preserve"> προχώρησε και</w:t>
      </w:r>
      <w:r w:rsidR="005138CD">
        <w:rPr>
          <w:rStyle w:val="BodyTextChar"/>
          <w:sz w:val="28"/>
          <w:szCs w:val="28"/>
        </w:rPr>
        <w:t xml:space="preserve"> εξέτασε την προσφυγή</w:t>
      </w:r>
      <w:r w:rsidR="00993F5D">
        <w:rPr>
          <w:rStyle w:val="BodyTextChar"/>
          <w:sz w:val="28"/>
          <w:szCs w:val="28"/>
        </w:rPr>
        <w:t>,</w:t>
      </w:r>
      <w:r w:rsidR="005138CD">
        <w:rPr>
          <w:rStyle w:val="BodyTextChar"/>
          <w:sz w:val="28"/>
          <w:szCs w:val="28"/>
        </w:rPr>
        <w:t xml:space="preserve"> </w:t>
      </w:r>
      <w:r w:rsidR="00993F5D">
        <w:rPr>
          <w:rStyle w:val="BodyTextChar"/>
          <w:sz w:val="28"/>
          <w:szCs w:val="28"/>
        </w:rPr>
        <w:t>με το σκεπτικό ότι</w:t>
      </w:r>
      <w:r w:rsidR="005138CD">
        <w:rPr>
          <w:rStyle w:val="BodyTextChar"/>
          <w:sz w:val="28"/>
          <w:szCs w:val="28"/>
        </w:rPr>
        <w:t xml:space="preserve"> στο διάστημα που διέρρευσε μέχρι την συγχώνευση της αρχικής απόφασης</w:t>
      </w:r>
      <w:r w:rsidR="00B57E07">
        <w:rPr>
          <w:rStyle w:val="BodyTextChar"/>
          <w:sz w:val="28"/>
          <w:szCs w:val="28"/>
        </w:rPr>
        <w:t xml:space="preserve"> στην τελική </w:t>
      </w:r>
      <w:r w:rsidR="00993F5D">
        <w:rPr>
          <w:rStyle w:val="BodyTextChar"/>
          <w:sz w:val="28"/>
          <w:szCs w:val="28"/>
        </w:rPr>
        <w:t>(</w:t>
      </w:r>
      <w:r w:rsidR="00B57E07">
        <w:rPr>
          <w:rStyle w:val="BodyTextChar"/>
          <w:sz w:val="28"/>
          <w:szCs w:val="28"/>
        </w:rPr>
        <w:t>και μόνη εκτελεστή</w:t>
      </w:r>
      <w:r w:rsidR="00993F5D">
        <w:rPr>
          <w:rStyle w:val="BodyTextChar"/>
          <w:sz w:val="28"/>
          <w:szCs w:val="28"/>
        </w:rPr>
        <w:t>)</w:t>
      </w:r>
      <w:r w:rsidR="005138CD">
        <w:rPr>
          <w:rStyle w:val="BodyTextChar"/>
          <w:sz w:val="28"/>
          <w:szCs w:val="28"/>
        </w:rPr>
        <w:t>, είχε δημιουργηθεί ζημία εναντίον του εκεί προσφεύγοντος</w:t>
      </w:r>
      <w:r w:rsidR="00B57E07">
        <w:rPr>
          <w:rStyle w:val="BodyTextChar"/>
          <w:sz w:val="28"/>
          <w:szCs w:val="28"/>
        </w:rPr>
        <w:t xml:space="preserve">, έτσι </w:t>
      </w:r>
      <w:r w:rsidR="005138CD">
        <w:rPr>
          <w:rStyle w:val="BodyTextChar"/>
          <w:sz w:val="28"/>
          <w:szCs w:val="28"/>
        </w:rPr>
        <w:t xml:space="preserve">και στην παρούσα υπόθεση είναι </w:t>
      </w:r>
      <w:r w:rsidR="005138CD" w:rsidRPr="000C4ACE">
        <w:rPr>
          <w:rStyle w:val="BodyTextChar"/>
          <w:i/>
          <w:iCs/>
          <w:sz w:val="28"/>
          <w:szCs w:val="28"/>
        </w:rPr>
        <w:t>τεράστια η ζημία</w:t>
      </w:r>
      <w:r w:rsidR="005138CD">
        <w:rPr>
          <w:rStyle w:val="BodyTextChar"/>
          <w:sz w:val="28"/>
          <w:szCs w:val="28"/>
        </w:rPr>
        <w:t xml:space="preserve"> που έχουν υποστεί, νοουμένου ότι η φορολογία επικυρώθηκε με την </w:t>
      </w:r>
      <w:r w:rsidR="000C4ACE">
        <w:rPr>
          <w:rStyle w:val="BodyTextChar"/>
          <w:sz w:val="28"/>
          <w:szCs w:val="28"/>
        </w:rPr>
        <w:t xml:space="preserve">απόφαση του Εφόρου για την </w:t>
      </w:r>
      <w:r w:rsidR="005138CD">
        <w:rPr>
          <w:rStyle w:val="BodyTextChar"/>
          <w:sz w:val="28"/>
          <w:szCs w:val="28"/>
        </w:rPr>
        <w:t>απόρριψη της ενστάσεως</w:t>
      </w:r>
      <w:r w:rsidR="000C4ACE">
        <w:rPr>
          <w:rStyle w:val="BodyTextChar"/>
          <w:sz w:val="28"/>
          <w:szCs w:val="28"/>
        </w:rPr>
        <w:t>,</w:t>
      </w:r>
      <w:r w:rsidR="005138CD">
        <w:rPr>
          <w:rStyle w:val="BodyTextChar"/>
          <w:sz w:val="28"/>
          <w:szCs w:val="28"/>
        </w:rPr>
        <w:t xml:space="preserve"> και</w:t>
      </w:r>
      <w:r w:rsidR="000C4ACE">
        <w:rPr>
          <w:rStyle w:val="BodyTextChar"/>
          <w:sz w:val="28"/>
          <w:szCs w:val="28"/>
        </w:rPr>
        <w:t xml:space="preserve"> ως εκ τούτου</w:t>
      </w:r>
      <w:r w:rsidR="005138CD">
        <w:rPr>
          <w:rStyle w:val="BodyTextChar"/>
          <w:sz w:val="28"/>
          <w:szCs w:val="28"/>
        </w:rPr>
        <w:t xml:space="preserve"> χρειάζεται τώρα να καταβάλουν το οφειλόμενο ποσό.</w:t>
      </w:r>
    </w:p>
    <w:p w14:paraId="29765CF0" w14:textId="5F6E6C5A" w:rsidR="005138CD" w:rsidRDefault="005138CD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lastRenderedPageBreak/>
        <w:t>Έχουμε μελετήσει τα περιγράμματα τα οποία υιοθετήθηκαν από τους διαδίκους και καταλήγουμε ότι η έφεση θα πρέπει να απορριφθεί.</w:t>
      </w:r>
    </w:p>
    <w:p w14:paraId="65D98CF0" w14:textId="77777777" w:rsidR="005138CD" w:rsidRDefault="005138CD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</w:p>
    <w:p w14:paraId="48E5B457" w14:textId="1BB909FE" w:rsidR="00993F5D" w:rsidRDefault="005138CD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Σε αντίθεση με ό</w:t>
      </w:r>
      <w:r w:rsidR="00990D0E" w:rsidRPr="00990D0E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τι υποστηρίζουν οι δικηγόροι των </w:t>
      </w:r>
      <w:proofErr w:type="spellStart"/>
      <w:r>
        <w:rPr>
          <w:rStyle w:val="BodyTextChar"/>
          <w:sz w:val="28"/>
          <w:szCs w:val="28"/>
        </w:rPr>
        <w:t>εφεσειόντων</w:t>
      </w:r>
      <w:proofErr w:type="spellEnd"/>
      <w:r>
        <w:rPr>
          <w:rStyle w:val="BodyTextChar"/>
          <w:sz w:val="28"/>
          <w:szCs w:val="28"/>
        </w:rPr>
        <w:t xml:space="preserve">, το ζήτημα </w:t>
      </w:r>
      <w:r w:rsidR="00993F5D">
        <w:rPr>
          <w:rStyle w:val="BodyTextChar"/>
          <w:sz w:val="28"/>
          <w:szCs w:val="28"/>
        </w:rPr>
        <w:t xml:space="preserve">στην </w:t>
      </w:r>
      <w:r w:rsidR="00993F5D" w:rsidRPr="005138CD">
        <w:rPr>
          <w:rStyle w:val="BodyTextChar"/>
          <w:b/>
          <w:bCs/>
          <w:i/>
          <w:iCs/>
          <w:sz w:val="28"/>
          <w:szCs w:val="28"/>
        </w:rPr>
        <w:t>Ματθαίου</w:t>
      </w:r>
      <w:r w:rsidR="00993F5D">
        <w:rPr>
          <w:rStyle w:val="BodyTextChar"/>
          <w:sz w:val="28"/>
          <w:szCs w:val="28"/>
        </w:rPr>
        <w:t xml:space="preserve"> (ανωτέρω), </w:t>
      </w:r>
      <w:r>
        <w:rPr>
          <w:rStyle w:val="BodyTextChar"/>
          <w:sz w:val="28"/>
          <w:szCs w:val="28"/>
        </w:rPr>
        <w:t xml:space="preserve">αφορούσε κατάλοιπο ζημίας που προκλήθηκε από </w:t>
      </w:r>
      <w:r w:rsidRPr="00B57E07">
        <w:rPr>
          <w:rStyle w:val="BodyTextChar"/>
          <w:i/>
          <w:iCs/>
          <w:sz w:val="28"/>
          <w:szCs w:val="28"/>
        </w:rPr>
        <w:t>μετάθεση</w:t>
      </w:r>
      <w:r>
        <w:rPr>
          <w:rStyle w:val="BodyTextChar"/>
          <w:sz w:val="28"/>
          <w:szCs w:val="28"/>
        </w:rPr>
        <w:t xml:space="preserve"> εκπαιδευτικού</w:t>
      </w:r>
      <w:r w:rsidR="000C4ACE">
        <w:rPr>
          <w:rStyle w:val="BodyTextChar"/>
          <w:sz w:val="28"/>
          <w:szCs w:val="28"/>
        </w:rPr>
        <w:t xml:space="preserve"> εκτός έδρας,</w:t>
      </w:r>
      <w:r>
        <w:rPr>
          <w:rStyle w:val="BodyTextChar"/>
          <w:sz w:val="28"/>
          <w:szCs w:val="28"/>
        </w:rPr>
        <w:t xml:space="preserve"> η οποία ίσχυσε </w:t>
      </w:r>
      <w:r w:rsidR="00990D0E">
        <w:rPr>
          <w:rStyle w:val="BodyTextChar"/>
          <w:sz w:val="28"/>
          <w:szCs w:val="28"/>
        </w:rPr>
        <w:t>αμέσως</w:t>
      </w:r>
      <w:r w:rsidR="000C4ACE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καθ’ όλο το χρόνο μέχρι και την απόρριψη της ενστάσεώς του</w:t>
      </w:r>
      <w:r w:rsidR="00990D0E">
        <w:rPr>
          <w:rStyle w:val="BodyTextChar"/>
          <w:sz w:val="28"/>
          <w:szCs w:val="28"/>
        </w:rPr>
        <w:t xml:space="preserve"> και</w:t>
      </w:r>
      <w:r w:rsidR="000C4ACE">
        <w:rPr>
          <w:rStyle w:val="BodyTextChar"/>
          <w:sz w:val="28"/>
          <w:szCs w:val="28"/>
        </w:rPr>
        <w:t xml:space="preserve"> χωρίς αναστολή της εκτέλεσης</w:t>
      </w:r>
      <w:r w:rsidR="00993F5D">
        <w:rPr>
          <w:rStyle w:val="BodyTextChar"/>
          <w:sz w:val="28"/>
          <w:szCs w:val="28"/>
        </w:rPr>
        <w:t xml:space="preserve"> της απόφασης για μετάθεση</w:t>
      </w:r>
      <w:r w:rsidR="000C4ACE">
        <w:rPr>
          <w:rStyle w:val="BodyTextChar"/>
          <w:sz w:val="28"/>
          <w:szCs w:val="28"/>
        </w:rPr>
        <w:t xml:space="preserve"> λόγω</w:t>
      </w:r>
      <w:r w:rsidR="00990D0E">
        <w:rPr>
          <w:rStyle w:val="BodyTextChar"/>
          <w:sz w:val="28"/>
          <w:szCs w:val="28"/>
        </w:rPr>
        <w:t xml:space="preserve"> της</w:t>
      </w:r>
      <w:r w:rsidR="000C4ACE">
        <w:rPr>
          <w:rStyle w:val="BodyTextChar"/>
          <w:sz w:val="28"/>
          <w:szCs w:val="28"/>
        </w:rPr>
        <w:t xml:space="preserve"> </w:t>
      </w:r>
      <w:r w:rsidR="00993F5D">
        <w:rPr>
          <w:rStyle w:val="BodyTextChar"/>
          <w:sz w:val="28"/>
          <w:szCs w:val="28"/>
        </w:rPr>
        <w:t>υ</w:t>
      </w:r>
      <w:r w:rsidR="000C4ACE">
        <w:rPr>
          <w:rStyle w:val="BodyTextChar"/>
          <w:sz w:val="28"/>
          <w:szCs w:val="28"/>
        </w:rPr>
        <w:t xml:space="preserve">ποβολής </w:t>
      </w:r>
      <w:r w:rsidR="00990D0E">
        <w:rPr>
          <w:rStyle w:val="BodyTextChar"/>
          <w:sz w:val="28"/>
          <w:szCs w:val="28"/>
        </w:rPr>
        <w:t xml:space="preserve">της </w:t>
      </w:r>
      <w:r w:rsidR="000C4ACE">
        <w:rPr>
          <w:rStyle w:val="BodyTextChar"/>
          <w:sz w:val="28"/>
          <w:szCs w:val="28"/>
        </w:rPr>
        <w:t>ένστασης</w:t>
      </w:r>
      <w:r>
        <w:rPr>
          <w:rStyle w:val="BodyTextChar"/>
          <w:sz w:val="28"/>
          <w:szCs w:val="28"/>
        </w:rPr>
        <w:t xml:space="preserve">. </w:t>
      </w:r>
    </w:p>
    <w:p w14:paraId="68701DDA" w14:textId="77777777" w:rsidR="00993F5D" w:rsidRDefault="00993F5D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</w:p>
    <w:p w14:paraId="44AFA38F" w14:textId="277372CA" w:rsidR="005138CD" w:rsidRDefault="005138CD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Εννοείτο τότε από το Ανώτατο Δικαστήριο</w:t>
      </w:r>
      <w:r w:rsidR="00993F5D">
        <w:rPr>
          <w:rStyle w:val="BodyTextChar"/>
          <w:sz w:val="28"/>
          <w:szCs w:val="28"/>
        </w:rPr>
        <w:t>,</w:t>
      </w:r>
      <w:r w:rsidR="00B57E07">
        <w:rPr>
          <w:rStyle w:val="BodyTextChar"/>
          <w:sz w:val="28"/>
          <w:szCs w:val="28"/>
        </w:rPr>
        <w:t xml:space="preserve"> όπως καταγράφηκε στην απόφαση </w:t>
      </w:r>
      <w:r w:rsidR="00B57E07" w:rsidRPr="00B57E07">
        <w:rPr>
          <w:rStyle w:val="BodyTextChar"/>
          <w:b/>
          <w:bCs/>
          <w:i/>
          <w:iCs/>
          <w:sz w:val="28"/>
          <w:szCs w:val="28"/>
        </w:rPr>
        <w:t>Ματθαίου</w:t>
      </w:r>
      <w:r w:rsidR="00B57E07">
        <w:rPr>
          <w:rStyle w:val="BodyTextChar"/>
          <w:sz w:val="28"/>
          <w:szCs w:val="28"/>
        </w:rPr>
        <w:t xml:space="preserve"> (ανωτέρω),</w:t>
      </w:r>
      <w:r>
        <w:rPr>
          <w:rStyle w:val="BodyTextChar"/>
          <w:sz w:val="28"/>
          <w:szCs w:val="28"/>
        </w:rPr>
        <w:t xml:space="preserve"> </w:t>
      </w:r>
      <w:r w:rsidR="00B5143A">
        <w:rPr>
          <w:rStyle w:val="BodyTextChar"/>
          <w:sz w:val="28"/>
          <w:szCs w:val="28"/>
        </w:rPr>
        <w:t xml:space="preserve">ότι παρά το γεγονός ότι η αρχική εκτελεστή διοικητική απόφαση χάνει την </w:t>
      </w:r>
      <w:proofErr w:type="spellStart"/>
      <w:r w:rsidR="00B5143A">
        <w:rPr>
          <w:rStyle w:val="BodyTextChar"/>
          <w:sz w:val="28"/>
          <w:szCs w:val="28"/>
        </w:rPr>
        <w:t>εκτελεστότητα</w:t>
      </w:r>
      <w:proofErr w:type="spellEnd"/>
      <w:r w:rsidR="009E3F4D">
        <w:rPr>
          <w:rStyle w:val="BodyTextChar"/>
          <w:sz w:val="28"/>
          <w:szCs w:val="28"/>
        </w:rPr>
        <w:t xml:space="preserve"> της</w:t>
      </w:r>
      <w:r w:rsidR="00B5143A">
        <w:rPr>
          <w:rStyle w:val="BodyTextChar"/>
          <w:sz w:val="28"/>
          <w:szCs w:val="28"/>
        </w:rPr>
        <w:t xml:space="preserve"> και συγχωνεύεται στην μόνη εκτελεστή</w:t>
      </w:r>
      <w:r w:rsidR="00993F5D">
        <w:rPr>
          <w:rStyle w:val="BodyTextChar"/>
          <w:sz w:val="28"/>
          <w:szCs w:val="28"/>
        </w:rPr>
        <w:t xml:space="preserve"> απόφαση επί της ενστάσεως</w:t>
      </w:r>
      <w:r w:rsidR="00B57E07">
        <w:rPr>
          <w:rStyle w:val="BodyTextChar"/>
          <w:sz w:val="28"/>
          <w:szCs w:val="28"/>
        </w:rPr>
        <w:t>,</w:t>
      </w:r>
      <w:r w:rsidR="00993F5D">
        <w:rPr>
          <w:rStyle w:val="BodyTextChar"/>
          <w:sz w:val="28"/>
          <w:szCs w:val="28"/>
        </w:rPr>
        <w:t xml:space="preserve"> </w:t>
      </w:r>
      <w:r w:rsidR="00B5143A" w:rsidRPr="00B57E07">
        <w:rPr>
          <w:rStyle w:val="BodyTextChar"/>
          <w:i/>
          <w:iCs/>
          <w:sz w:val="28"/>
          <w:szCs w:val="28"/>
        </w:rPr>
        <w:t>η προσφυγή</w:t>
      </w:r>
      <w:r w:rsidR="00B5143A">
        <w:rPr>
          <w:rStyle w:val="BodyTextChar"/>
          <w:sz w:val="28"/>
          <w:szCs w:val="28"/>
        </w:rPr>
        <w:t xml:space="preserve"> που καταχωρήθηκε κατά της νομιμότητας της πρώτης απόφασης δεν χάνει το αντικείμενό της στην περίπτωση εκείνη</w:t>
      </w:r>
      <w:r w:rsidR="00B57E07">
        <w:rPr>
          <w:rStyle w:val="BodyTextChar"/>
          <w:sz w:val="28"/>
          <w:szCs w:val="28"/>
        </w:rPr>
        <w:t>,</w:t>
      </w:r>
      <w:r w:rsidR="00B5143A">
        <w:rPr>
          <w:rStyle w:val="BodyTextChar"/>
          <w:sz w:val="28"/>
          <w:szCs w:val="28"/>
        </w:rPr>
        <w:t xml:space="preserve"> </w:t>
      </w:r>
      <w:r w:rsidR="000C4ACE">
        <w:rPr>
          <w:rStyle w:val="BodyTextChar"/>
          <w:sz w:val="28"/>
          <w:szCs w:val="28"/>
        </w:rPr>
        <w:t>(</w:t>
      </w:r>
      <w:r w:rsidR="00B5143A">
        <w:rPr>
          <w:rStyle w:val="BodyTextChar"/>
          <w:sz w:val="28"/>
          <w:szCs w:val="28"/>
        </w:rPr>
        <w:t>και μόνον τότε</w:t>
      </w:r>
      <w:r w:rsidR="000C4ACE">
        <w:rPr>
          <w:rStyle w:val="BodyTextChar"/>
          <w:sz w:val="28"/>
          <w:szCs w:val="28"/>
        </w:rPr>
        <w:t>)</w:t>
      </w:r>
      <w:r w:rsidR="00B57E07">
        <w:rPr>
          <w:rStyle w:val="BodyTextChar"/>
          <w:sz w:val="28"/>
          <w:szCs w:val="28"/>
        </w:rPr>
        <w:t>,</w:t>
      </w:r>
      <w:r w:rsidR="00B5143A">
        <w:rPr>
          <w:rStyle w:val="BodyTextChar"/>
          <w:sz w:val="28"/>
          <w:szCs w:val="28"/>
        </w:rPr>
        <w:t xml:space="preserve"> που υπάρχει κατάλοιπο ζημίας του οποίου μπορεί να γίνει επίκληση</w:t>
      </w:r>
      <w:r w:rsidR="00993F5D">
        <w:rPr>
          <w:rStyle w:val="BodyTextChar"/>
          <w:sz w:val="28"/>
          <w:szCs w:val="28"/>
        </w:rPr>
        <w:t>. Η ζημία αφορά ζημία</w:t>
      </w:r>
      <w:r w:rsidR="00B57E07">
        <w:rPr>
          <w:rStyle w:val="BodyTextChar"/>
          <w:sz w:val="28"/>
          <w:szCs w:val="28"/>
        </w:rPr>
        <w:t xml:space="preserve"> η οποία </w:t>
      </w:r>
      <w:proofErr w:type="spellStart"/>
      <w:r w:rsidR="00B57E07">
        <w:rPr>
          <w:rStyle w:val="BodyTextChar"/>
          <w:sz w:val="28"/>
          <w:szCs w:val="28"/>
        </w:rPr>
        <w:t>προξενήθηκε</w:t>
      </w:r>
      <w:proofErr w:type="spellEnd"/>
      <w:r w:rsidR="00B57E07">
        <w:rPr>
          <w:rStyle w:val="BodyTextChar"/>
          <w:sz w:val="28"/>
          <w:szCs w:val="28"/>
        </w:rPr>
        <w:t xml:space="preserve"> </w:t>
      </w:r>
      <w:r w:rsidR="00B57E07" w:rsidRPr="00993F5D">
        <w:rPr>
          <w:rStyle w:val="BodyTextChar"/>
          <w:i/>
          <w:iCs/>
          <w:sz w:val="28"/>
          <w:szCs w:val="28"/>
        </w:rPr>
        <w:t>από την εκτέλεση</w:t>
      </w:r>
      <w:r w:rsidR="00993F5D" w:rsidRPr="00993F5D">
        <w:rPr>
          <w:rStyle w:val="BodyTextChar"/>
          <w:i/>
          <w:iCs/>
          <w:sz w:val="28"/>
          <w:szCs w:val="28"/>
        </w:rPr>
        <w:t xml:space="preserve"> στο μεταξύ</w:t>
      </w:r>
      <w:r w:rsidR="00B57E07">
        <w:rPr>
          <w:rStyle w:val="BodyTextChar"/>
          <w:sz w:val="28"/>
          <w:szCs w:val="28"/>
        </w:rPr>
        <w:t xml:space="preserve"> της διοικητικής απόφασης που είχε προσβληθεί.  </w:t>
      </w:r>
      <w:r w:rsidR="000C4ACE">
        <w:rPr>
          <w:rStyle w:val="BodyTextChar"/>
          <w:sz w:val="28"/>
          <w:szCs w:val="28"/>
        </w:rPr>
        <w:t xml:space="preserve">Τονίστηκε ότι η </w:t>
      </w:r>
      <w:r w:rsidR="000C4ACE">
        <w:rPr>
          <w:rStyle w:val="BodyTextChar"/>
          <w:sz w:val="28"/>
          <w:szCs w:val="28"/>
        </w:rPr>
        <w:lastRenderedPageBreak/>
        <w:t xml:space="preserve">διεκδίκηση αποζημιώσεων για την προκληθείσα ζημία μπορούσε να γίνει μόνο βάσει του άρθρου 146.6 του Συντάγματος. </w:t>
      </w:r>
    </w:p>
    <w:p w14:paraId="544F7195" w14:textId="77777777" w:rsidR="00B5143A" w:rsidRDefault="00B5143A" w:rsidP="00B57E07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</w:p>
    <w:p w14:paraId="5820DF02" w14:textId="5195BC4A" w:rsidR="00993F5D" w:rsidRDefault="00B5143A" w:rsidP="00A72AEC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Στην παρούσα υπόθεση</w:t>
      </w:r>
      <w:r w:rsidR="000C4ACE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που αφορά επιβολή φορολογίας, οι </w:t>
      </w:r>
      <w:proofErr w:type="spellStart"/>
      <w:r>
        <w:rPr>
          <w:rStyle w:val="BodyTextChar"/>
          <w:sz w:val="28"/>
          <w:szCs w:val="28"/>
        </w:rPr>
        <w:t>εφεσείοντες</w:t>
      </w:r>
      <w:proofErr w:type="spellEnd"/>
      <w:r>
        <w:rPr>
          <w:rStyle w:val="BodyTextChar"/>
          <w:sz w:val="28"/>
          <w:szCs w:val="28"/>
        </w:rPr>
        <w:t xml:space="preserve"> απέτυχαν να υποστηρίξουν και να αποδείξουν στο Δικαστήριο ποιο</w:t>
      </w:r>
      <w:r w:rsidR="00B57E07">
        <w:rPr>
          <w:rStyle w:val="BodyTextChar"/>
          <w:sz w:val="28"/>
          <w:szCs w:val="28"/>
        </w:rPr>
        <w:t xml:space="preserve"> συγκεκριμένο</w:t>
      </w:r>
      <w:r>
        <w:rPr>
          <w:rStyle w:val="BodyTextChar"/>
          <w:sz w:val="28"/>
          <w:szCs w:val="28"/>
        </w:rPr>
        <w:t xml:space="preserve"> κατάλοιπο ζημίας επήλθε στο διάστημα που διέρρευσε μέχρι και την απόρριψη επί της ενστάσεως. Νοείται ότι η επικύρωση της φορολογίας με την απόφαση επί της ενστάσεως, επέφερε επιβεβαίωση της υποχρέωσης καταβολής του </w:t>
      </w:r>
      <w:proofErr w:type="spellStart"/>
      <w:r>
        <w:rPr>
          <w:rStyle w:val="BodyTextChar"/>
          <w:sz w:val="28"/>
          <w:szCs w:val="28"/>
        </w:rPr>
        <w:t>επιβληθέντος</w:t>
      </w:r>
      <w:proofErr w:type="spellEnd"/>
      <w:r>
        <w:rPr>
          <w:rStyle w:val="BodyTextChar"/>
          <w:sz w:val="28"/>
          <w:szCs w:val="28"/>
        </w:rPr>
        <w:t xml:space="preserve"> φόρου</w:t>
      </w:r>
      <w:r w:rsidR="00B57E07">
        <w:rPr>
          <w:rStyle w:val="BodyTextChar"/>
          <w:sz w:val="28"/>
          <w:szCs w:val="28"/>
        </w:rPr>
        <w:t>,</w:t>
      </w:r>
      <w:r>
        <w:rPr>
          <w:rStyle w:val="BodyTextChar"/>
          <w:sz w:val="28"/>
          <w:szCs w:val="28"/>
        </w:rPr>
        <w:t xml:space="preserve"> χωρίς να υπάρχει άλλο κατάλοιπο ζημίας που να έχει στο μεταξύ δημιουργηθεί</w:t>
      </w:r>
      <w:r w:rsidR="003A03C0">
        <w:rPr>
          <w:rStyle w:val="BodyTextChar"/>
          <w:sz w:val="28"/>
          <w:szCs w:val="28"/>
        </w:rPr>
        <w:t xml:space="preserve">, αφού με την υποβολή της ένστασης εμπροθέσμως, η καταβολή του </w:t>
      </w:r>
      <w:proofErr w:type="spellStart"/>
      <w:r w:rsidR="003A03C0">
        <w:rPr>
          <w:rStyle w:val="BodyTextChar"/>
          <w:sz w:val="28"/>
          <w:szCs w:val="28"/>
        </w:rPr>
        <w:t>επιβληθέντος</w:t>
      </w:r>
      <w:proofErr w:type="spellEnd"/>
      <w:r w:rsidR="003A03C0">
        <w:rPr>
          <w:rStyle w:val="BodyTextChar"/>
          <w:sz w:val="28"/>
          <w:szCs w:val="28"/>
        </w:rPr>
        <w:t xml:space="preserve"> φόρου, δηλαδή η υποχρέωση συμμόρφωσης με τη διοικητική απόφαση</w:t>
      </w:r>
      <w:r w:rsidR="006A13B8">
        <w:rPr>
          <w:rStyle w:val="BodyTextChar"/>
          <w:sz w:val="28"/>
          <w:szCs w:val="28"/>
        </w:rPr>
        <w:t>,</w:t>
      </w:r>
      <w:r w:rsidR="003A03C0">
        <w:rPr>
          <w:rStyle w:val="BodyTextChar"/>
          <w:sz w:val="28"/>
          <w:szCs w:val="28"/>
        </w:rPr>
        <w:t xml:space="preserve"> </w:t>
      </w:r>
      <w:proofErr w:type="spellStart"/>
      <w:r w:rsidR="003A03C0">
        <w:rPr>
          <w:rStyle w:val="BodyTextChar"/>
          <w:sz w:val="28"/>
          <w:szCs w:val="28"/>
        </w:rPr>
        <w:t>αναστάληκε</w:t>
      </w:r>
      <w:proofErr w:type="spellEnd"/>
      <w:r w:rsidR="003A03C0">
        <w:rPr>
          <w:rStyle w:val="BodyTextChar"/>
          <w:sz w:val="28"/>
          <w:szCs w:val="28"/>
        </w:rPr>
        <w:t xml:space="preserve">. </w:t>
      </w:r>
    </w:p>
    <w:p w14:paraId="3BE81B5D" w14:textId="77777777" w:rsidR="00993F5D" w:rsidRDefault="00993F5D" w:rsidP="00A72AEC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</w:p>
    <w:p w14:paraId="18AF8E9C" w14:textId="36009A75" w:rsidR="003A03C0" w:rsidRDefault="00993F5D" w:rsidP="00A72AEC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Η αναστολή της εκτέλεσης </w:t>
      </w:r>
      <w:r w:rsidR="003A03C0">
        <w:rPr>
          <w:rStyle w:val="BodyTextChar"/>
          <w:sz w:val="28"/>
          <w:szCs w:val="28"/>
        </w:rPr>
        <w:t>προκύπτει ως γεγονός εκ δύο τινών</w:t>
      </w:r>
      <w:r>
        <w:rPr>
          <w:rStyle w:val="BodyTextChar"/>
          <w:sz w:val="28"/>
          <w:szCs w:val="28"/>
        </w:rPr>
        <w:t xml:space="preserve"> από τον διοικητικό φάκελο</w:t>
      </w:r>
      <w:r w:rsidR="003A03C0">
        <w:rPr>
          <w:rStyle w:val="BodyTextChar"/>
          <w:sz w:val="28"/>
          <w:szCs w:val="28"/>
        </w:rPr>
        <w:t xml:space="preserve">. Κατά πρώτον οι </w:t>
      </w:r>
      <w:proofErr w:type="spellStart"/>
      <w:r w:rsidR="003A03C0">
        <w:rPr>
          <w:rStyle w:val="BodyTextChar"/>
          <w:sz w:val="28"/>
          <w:szCs w:val="28"/>
        </w:rPr>
        <w:t>εφεσείοντες</w:t>
      </w:r>
      <w:proofErr w:type="spellEnd"/>
      <w:r w:rsidR="003A03C0">
        <w:rPr>
          <w:rStyle w:val="BodyTextChar"/>
          <w:sz w:val="28"/>
          <w:szCs w:val="28"/>
        </w:rPr>
        <w:t xml:space="preserve"> επέλεξαν να υποβάλουν ένσταση στον Έφορο βάσει του άρθρου 51Α του </w:t>
      </w:r>
      <w:r w:rsidR="003A03C0" w:rsidRPr="003A03C0">
        <w:rPr>
          <w:rStyle w:val="BodyTextChar"/>
          <w:b/>
          <w:bCs/>
          <w:i/>
          <w:iCs/>
          <w:sz w:val="28"/>
          <w:szCs w:val="28"/>
        </w:rPr>
        <w:t>περί Φόρου Προστιθέμενης Αξίας Νόμου (Ν.95(Ι)/2000)</w:t>
      </w:r>
      <w:r w:rsidR="003A03C0">
        <w:rPr>
          <w:rStyle w:val="BodyTextChar"/>
          <w:sz w:val="28"/>
          <w:szCs w:val="28"/>
        </w:rPr>
        <w:t xml:space="preserve">, η υποβολή της οποίας αναστέλλει την εκτέλεση της απόφασης (σε αντίθεση με την τυχόν επιλογή υποβολής ιεραρχικής προσφυγής </w:t>
      </w:r>
      <w:r w:rsidR="003A03C0">
        <w:rPr>
          <w:rStyle w:val="BodyTextChar"/>
          <w:sz w:val="28"/>
          <w:szCs w:val="28"/>
        </w:rPr>
        <w:lastRenderedPageBreak/>
        <w:t xml:space="preserve">στον Υπουργό Οικονομικών βάσει των άρθρων 52 και 53 του ιδίου Νόμου). Κατά δεύτερον δε, στην απόφαση επί της ενστάσεως, ημερομηνίας 23/5/2013 (βλ. παράρτημα 4γ της ένστασης) κλήθηκαν οι </w:t>
      </w:r>
      <w:proofErr w:type="spellStart"/>
      <w:r w:rsidR="003A03C0">
        <w:rPr>
          <w:rStyle w:val="BodyTextChar"/>
          <w:sz w:val="28"/>
          <w:szCs w:val="28"/>
        </w:rPr>
        <w:t>εφεσείοντες</w:t>
      </w:r>
      <w:proofErr w:type="spellEnd"/>
      <w:r w:rsidR="003A03C0">
        <w:rPr>
          <w:rStyle w:val="BodyTextChar"/>
          <w:sz w:val="28"/>
          <w:szCs w:val="28"/>
        </w:rPr>
        <w:t>, με δεδομένη την απόρριψη αυτής, να καταβάλουν τον οφειλόμενο φόρο</w:t>
      </w:r>
      <w:r>
        <w:rPr>
          <w:rStyle w:val="BodyTextChar"/>
          <w:sz w:val="28"/>
          <w:szCs w:val="28"/>
        </w:rPr>
        <w:t>,</w:t>
      </w:r>
      <w:r w:rsidR="003A03C0">
        <w:rPr>
          <w:rStyle w:val="BodyTextChar"/>
          <w:sz w:val="28"/>
          <w:szCs w:val="28"/>
        </w:rPr>
        <w:t xml:space="preserve"> πλέον τις επιβαρύνσεις και τους τόκους, ο οποίος και δεν είχε μέχρι τότε καταβληθεί. </w:t>
      </w:r>
    </w:p>
    <w:p w14:paraId="45F9D5A0" w14:textId="77777777" w:rsidR="003A03C0" w:rsidRDefault="003A03C0" w:rsidP="00A72AEC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</w:p>
    <w:p w14:paraId="127779D3" w14:textId="20A9FE17" w:rsidR="00A72AEC" w:rsidRDefault="003A03C0" w:rsidP="00993F5D">
      <w:pPr>
        <w:spacing w:line="480" w:lineRule="auto"/>
        <w:ind w:firstLine="284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>Καταλήγουμε πως δεν συντρέχουν οι περιστάσεις που συνέτρεχαν στην</w:t>
      </w:r>
      <w:r w:rsidR="00993F5D">
        <w:rPr>
          <w:rStyle w:val="BodyTextChar"/>
          <w:sz w:val="28"/>
          <w:szCs w:val="28"/>
        </w:rPr>
        <w:t xml:space="preserve"> απόφαση της </w:t>
      </w:r>
      <w:r w:rsidR="009E3F4D">
        <w:rPr>
          <w:rStyle w:val="BodyTextChar"/>
          <w:sz w:val="28"/>
          <w:szCs w:val="28"/>
        </w:rPr>
        <w:t>Ο</w:t>
      </w:r>
      <w:r w:rsidR="00993F5D">
        <w:rPr>
          <w:rStyle w:val="BodyTextChar"/>
          <w:sz w:val="28"/>
          <w:szCs w:val="28"/>
        </w:rPr>
        <w:t xml:space="preserve">λομέλειας του </w:t>
      </w:r>
      <w:proofErr w:type="spellStart"/>
      <w:r w:rsidR="00993F5D">
        <w:rPr>
          <w:rStyle w:val="BodyTextChar"/>
          <w:sz w:val="28"/>
          <w:szCs w:val="28"/>
        </w:rPr>
        <w:t>Ανωτάτου</w:t>
      </w:r>
      <w:proofErr w:type="spellEnd"/>
      <w:r w:rsidR="00993F5D">
        <w:rPr>
          <w:rStyle w:val="BodyTextChar"/>
          <w:sz w:val="28"/>
          <w:szCs w:val="28"/>
        </w:rPr>
        <w:t xml:space="preserve"> Δικαστηρίου</w:t>
      </w:r>
      <w:r>
        <w:rPr>
          <w:rStyle w:val="BodyTextChar"/>
          <w:sz w:val="28"/>
          <w:szCs w:val="28"/>
        </w:rPr>
        <w:t xml:space="preserve"> </w:t>
      </w:r>
      <w:r w:rsidRPr="003A03C0">
        <w:rPr>
          <w:rStyle w:val="BodyTextChar"/>
          <w:b/>
          <w:bCs/>
          <w:i/>
          <w:iCs/>
          <w:sz w:val="28"/>
          <w:szCs w:val="28"/>
        </w:rPr>
        <w:t>Ματθαίου</w:t>
      </w:r>
      <w:r>
        <w:rPr>
          <w:rStyle w:val="BodyTextChar"/>
          <w:sz w:val="28"/>
          <w:szCs w:val="28"/>
        </w:rPr>
        <w:t xml:space="preserve"> (ανωτέρω), της οποίας έγινε επίκληση</w:t>
      </w:r>
      <w:r w:rsidR="00993F5D">
        <w:rPr>
          <w:rStyle w:val="BodyTextChar"/>
          <w:sz w:val="28"/>
          <w:szCs w:val="28"/>
        </w:rPr>
        <w:t xml:space="preserve"> από τους </w:t>
      </w:r>
      <w:proofErr w:type="spellStart"/>
      <w:r w:rsidR="00993F5D">
        <w:rPr>
          <w:rStyle w:val="BodyTextChar"/>
          <w:sz w:val="28"/>
          <w:szCs w:val="28"/>
        </w:rPr>
        <w:t>εφεσείοντες</w:t>
      </w:r>
      <w:proofErr w:type="spellEnd"/>
      <w:r>
        <w:rPr>
          <w:rStyle w:val="BodyTextChar"/>
          <w:sz w:val="28"/>
          <w:szCs w:val="28"/>
        </w:rPr>
        <w:t xml:space="preserve">. Ως εκ τούτου, ο δεύτερος λόγος έφεσης επίσης απορρίπτεται.    </w:t>
      </w:r>
      <w:r w:rsidR="00B5143A">
        <w:rPr>
          <w:rStyle w:val="BodyTextChar"/>
          <w:sz w:val="28"/>
          <w:szCs w:val="28"/>
        </w:rPr>
        <w:t xml:space="preserve"> </w:t>
      </w:r>
    </w:p>
    <w:p w14:paraId="1E8F2CEB" w14:textId="77777777" w:rsidR="000A1F25" w:rsidRDefault="000A1F25" w:rsidP="000A1F25">
      <w:pPr>
        <w:spacing w:line="360" w:lineRule="auto"/>
        <w:ind w:firstLine="284"/>
        <w:jc w:val="both"/>
        <w:rPr>
          <w:rStyle w:val="BodyTextChar"/>
          <w:b/>
          <w:bCs/>
          <w:sz w:val="28"/>
          <w:szCs w:val="28"/>
        </w:rPr>
      </w:pPr>
    </w:p>
    <w:p w14:paraId="393AC51F" w14:textId="0727D7D1" w:rsidR="00B5143A" w:rsidRPr="00B57E07" w:rsidRDefault="00B5143A" w:rsidP="00B57E07">
      <w:pPr>
        <w:spacing w:line="480" w:lineRule="auto"/>
        <w:ind w:firstLine="284"/>
        <w:jc w:val="both"/>
        <w:rPr>
          <w:rStyle w:val="BodyTextChar"/>
          <w:b/>
          <w:bCs/>
          <w:sz w:val="28"/>
          <w:szCs w:val="28"/>
        </w:rPr>
      </w:pPr>
      <w:r w:rsidRPr="00B57E07">
        <w:rPr>
          <w:rStyle w:val="BodyTextChar"/>
          <w:b/>
          <w:bCs/>
          <w:sz w:val="28"/>
          <w:szCs w:val="28"/>
        </w:rPr>
        <w:t>Για τους λόγους που έχουν εξηγηθεί, η έφεση απορρίπτεται με €3.000 έξοδα</w:t>
      </w:r>
      <w:r w:rsidR="00993F5D">
        <w:rPr>
          <w:rStyle w:val="BodyTextChar"/>
          <w:b/>
          <w:bCs/>
          <w:sz w:val="28"/>
          <w:szCs w:val="28"/>
        </w:rPr>
        <w:t>,</w:t>
      </w:r>
      <w:r w:rsidRPr="00B57E07">
        <w:rPr>
          <w:rStyle w:val="BodyTextChar"/>
          <w:b/>
          <w:bCs/>
          <w:sz w:val="28"/>
          <w:szCs w:val="28"/>
        </w:rPr>
        <w:t xml:space="preserve"> υπέρ των </w:t>
      </w:r>
      <w:proofErr w:type="spellStart"/>
      <w:r w:rsidRPr="00B57E07">
        <w:rPr>
          <w:rStyle w:val="BodyTextChar"/>
          <w:b/>
          <w:bCs/>
          <w:sz w:val="28"/>
          <w:szCs w:val="28"/>
        </w:rPr>
        <w:t>εφεσιβλήτων</w:t>
      </w:r>
      <w:proofErr w:type="spellEnd"/>
      <w:r w:rsidRPr="00B57E07">
        <w:rPr>
          <w:rStyle w:val="BodyTextChar"/>
          <w:b/>
          <w:bCs/>
          <w:sz w:val="28"/>
          <w:szCs w:val="28"/>
        </w:rPr>
        <w:t xml:space="preserve"> και εναντίον των </w:t>
      </w:r>
      <w:proofErr w:type="spellStart"/>
      <w:r w:rsidRPr="00B57E07">
        <w:rPr>
          <w:rStyle w:val="BodyTextChar"/>
          <w:b/>
          <w:bCs/>
          <w:sz w:val="28"/>
          <w:szCs w:val="28"/>
        </w:rPr>
        <w:t>εφεσειόντων</w:t>
      </w:r>
      <w:proofErr w:type="spellEnd"/>
      <w:r w:rsidRPr="00B57E07">
        <w:rPr>
          <w:rStyle w:val="BodyTextChar"/>
          <w:b/>
          <w:bCs/>
          <w:sz w:val="28"/>
          <w:szCs w:val="28"/>
        </w:rPr>
        <w:t xml:space="preserve">. </w:t>
      </w:r>
    </w:p>
    <w:p w14:paraId="18456215" w14:textId="77777777" w:rsidR="000A1F25" w:rsidRDefault="00706794" w:rsidP="000A1F25">
      <w:pPr>
        <w:pStyle w:val="BodyText"/>
        <w:spacing w:after="0" w:line="240" w:lineRule="auto"/>
        <w:ind w:left="4321"/>
        <w:rPr>
          <w:rStyle w:val="BodyTextChar"/>
          <w:sz w:val="28"/>
          <w:szCs w:val="28"/>
        </w:rPr>
      </w:pPr>
      <w:r w:rsidRPr="005271D7">
        <w:rPr>
          <w:rStyle w:val="BodyTextChar"/>
          <w:sz w:val="28"/>
          <w:szCs w:val="28"/>
        </w:rPr>
        <w:t>Τ. Θ. ΟΙΚΟΝΟΜΟΥ, Δ.</w:t>
      </w:r>
    </w:p>
    <w:p w14:paraId="281464B5" w14:textId="77777777" w:rsidR="000A1F25" w:rsidRDefault="000A1F25" w:rsidP="000A1F25">
      <w:pPr>
        <w:pStyle w:val="BodyText"/>
        <w:spacing w:after="0" w:line="240" w:lineRule="auto"/>
        <w:ind w:left="4321"/>
        <w:rPr>
          <w:rStyle w:val="BodyTextChar"/>
          <w:sz w:val="28"/>
          <w:szCs w:val="28"/>
        </w:rPr>
      </w:pPr>
    </w:p>
    <w:p w14:paraId="046F4F3D" w14:textId="77777777" w:rsidR="000A1F25" w:rsidRDefault="000A1F25" w:rsidP="000A1F25">
      <w:pPr>
        <w:pStyle w:val="BodyText"/>
        <w:spacing w:after="0" w:line="240" w:lineRule="auto"/>
        <w:ind w:left="4321"/>
        <w:rPr>
          <w:rStyle w:val="BodyTextChar"/>
          <w:sz w:val="28"/>
          <w:szCs w:val="28"/>
        </w:rPr>
      </w:pPr>
    </w:p>
    <w:p w14:paraId="0FD39188" w14:textId="4E54D8F7" w:rsidR="00AD1936" w:rsidRPr="005271D7" w:rsidRDefault="00706794" w:rsidP="000A1F25">
      <w:pPr>
        <w:pStyle w:val="BodyText"/>
        <w:spacing w:after="0" w:line="240" w:lineRule="auto"/>
        <w:ind w:left="4321"/>
        <w:rPr>
          <w:sz w:val="28"/>
          <w:szCs w:val="28"/>
        </w:rPr>
      </w:pPr>
      <w:r w:rsidRPr="005271D7">
        <w:rPr>
          <w:rStyle w:val="BodyTextChar"/>
          <w:sz w:val="28"/>
          <w:szCs w:val="28"/>
        </w:rPr>
        <w:t>Ν. ΣΑΝΤΗΣ, Δ.</w:t>
      </w:r>
    </w:p>
    <w:p w14:paraId="0676146D" w14:textId="77777777" w:rsidR="000A1F25" w:rsidRDefault="000A1F25" w:rsidP="000A1F25">
      <w:pPr>
        <w:pStyle w:val="BodyText"/>
        <w:spacing w:after="0" w:line="240" w:lineRule="auto"/>
        <w:ind w:left="4321"/>
        <w:rPr>
          <w:rStyle w:val="BodyTextChar"/>
          <w:sz w:val="28"/>
          <w:szCs w:val="28"/>
        </w:rPr>
      </w:pPr>
    </w:p>
    <w:p w14:paraId="4B34AFB0" w14:textId="77777777" w:rsidR="000A1F25" w:rsidRDefault="000A1F25" w:rsidP="000A1F25">
      <w:pPr>
        <w:pStyle w:val="BodyText"/>
        <w:spacing w:after="0" w:line="240" w:lineRule="auto"/>
        <w:ind w:left="4321"/>
        <w:rPr>
          <w:rStyle w:val="BodyTextChar"/>
          <w:sz w:val="28"/>
          <w:szCs w:val="28"/>
        </w:rPr>
      </w:pPr>
    </w:p>
    <w:p w14:paraId="6C6648E5" w14:textId="40210E68" w:rsidR="00A72AEC" w:rsidRPr="00A72AEC" w:rsidRDefault="00706794" w:rsidP="00EA2941">
      <w:pPr>
        <w:pStyle w:val="BodyText"/>
        <w:spacing w:after="0" w:line="240" w:lineRule="auto"/>
        <w:ind w:left="4321"/>
        <w:rPr>
          <w:sz w:val="18"/>
          <w:szCs w:val="18"/>
        </w:rPr>
      </w:pPr>
      <w:r w:rsidRPr="005271D7">
        <w:rPr>
          <w:rStyle w:val="BodyTextChar"/>
          <w:sz w:val="28"/>
          <w:szCs w:val="28"/>
        </w:rPr>
        <w:t>Μ. ΚΑΛΛΙ</w:t>
      </w:r>
      <w:r w:rsidR="005271D7">
        <w:rPr>
          <w:rStyle w:val="BodyTextChar"/>
          <w:sz w:val="28"/>
          <w:szCs w:val="28"/>
        </w:rPr>
        <w:t>Γ</w:t>
      </w:r>
      <w:r w:rsidRPr="005271D7">
        <w:rPr>
          <w:rStyle w:val="BodyTextChar"/>
          <w:sz w:val="28"/>
          <w:szCs w:val="28"/>
        </w:rPr>
        <w:t>ΕΡΟΥ, Δ.</w:t>
      </w:r>
    </w:p>
    <w:sectPr w:rsidR="00A72AEC" w:rsidRPr="00A72AEC" w:rsidSect="0064262C">
      <w:headerReference w:type="default" r:id="rId7"/>
      <w:pgSz w:w="11900" w:h="16840"/>
      <w:pgMar w:top="1361" w:right="1809" w:bottom="1191" w:left="1639" w:header="0" w:footer="10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A40D" w14:textId="77777777" w:rsidR="00414FCB" w:rsidRDefault="00414FCB">
      <w:r>
        <w:separator/>
      </w:r>
    </w:p>
  </w:endnote>
  <w:endnote w:type="continuationSeparator" w:id="0">
    <w:p w14:paraId="42E0E9CB" w14:textId="77777777" w:rsidR="00414FCB" w:rsidRDefault="004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ECA1" w14:textId="77777777" w:rsidR="00414FCB" w:rsidRDefault="00414FCB"/>
  </w:footnote>
  <w:footnote w:type="continuationSeparator" w:id="0">
    <w:p w14:paraId="2DB28D8B" w14:textId="77777777" w:rsidR="00414FCB" w:rsidRDefault="00414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1505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2A965" w14:textId="77777777" w:rsidR="00DC2830" w:rsidRDefault="00DC2830">
        <w:pPr>
          <w:pStyle w:val="Header"/>
          <w:jc w:val="center"/>
        </w:pPr>
      </w:p>
      <w:p w14:paraId="619F0A6C" w14:textId="77777777" w:rsidR="00DC2830" w:rsidRDefault="00DC2830">
        <w:pPr>
          <w:pStyle w:val="Header"/>
          <w:jc w:val="center"/>
        </w:pPr>
      </w:p>
      <w:p w14:paraId="5FABCD9A" w14:textId="07E1E721" w:rsidR="00DC2830" w:rsidRDefault="00DC28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9E72A7" w14:textId="3E7EF990" w:rsidR="00AD1936" w:rsidRDefault="00AD19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615D"/>
    <w:multiLevelType w:val="multilevel"/>
    <w:tmpl w:val="14AEC4F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4B21BF"/>
    <w:multiLevelType w:val="hybridMultilevel"/>
    <w:tmpl w:val="D34A41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84524">
    <w:abstractNumId w:val="0"/>
  </w:num>
  <w:num w:numId="2" w16cid:durableId="112114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36"/>
    <w:rsid w:val="000274AB"/>
    <w:rsid w:val="00062B92"/>
    <w:rsid w:val="000805E7"/>
    <w:rsid w:val="000A097C"/>
    <w:rsid w:val="000A1F25"/>
    <w:rsid w:val="000B3D4F"/>
    <w:rsid w:val="000C4ACE"/>
    <w:rsid w:val="000D4CB6"/>
    <w:rsid w:val="000E72DE"/>
    <w:rsid w:val="000F7735"/>
    <w:rsid w:val="0012352A"/>
    <w:rsid w:val="001670E1"/>
    <w:rsid w:val="001E64A8"/>
    <w:rsid w:val="00273E03"/>
    <w:rsid w:val="002D77CA"/>
    <w:rsid w:val="0030547A"/>
    <w:rsid w:val="00316E07"/>
    <w:rsid w:val="00340D34"/>
    <w:rsid w:val="003A03C0"/>
    <w:rsid w:val="003D5B41"/>
    <w:rsid w:val="003E6AC1"/>
    <w:rsid w:val="00414FCB"/>
    <w:rsid w:val="005138CD"/>
    <w:rsid w:val="005271D7"/>
    <w:rsid w:val="005605CC"/>
    <w:rsid w:val="005802DB"/>
    <w:rsid w:val="00597C77"/>
    <w:rsid w:val="00605A24"/>
    <w:rsid w:val="0064262C"/>
    <w:rsid w:val="006A13B8"/>
    <w:rsid w:val="00706794"/>
    <w:rsid w:val="0076411F"/>
    <w:rsid w:val="0085245C"/>
    <w:rsid w:val="009513C4"/>
    <w:rsid w:val="00990D0E"/>
    <w:rsid w:val="00993F5D"/>
    <w:rsid w:val="009E3F4D"/>
    <w:rsid w:val="009F44DA"/>
    <w:rsid w:val="00A67183"/>
    <w:rsid w:val="00A72AEC"/>
    <w:rsid w:val="00AD1936"/>
    <w:rsid w:val="00AE3D2F"/>
    <w:rsid w:val="00B5143A"/>
    <w:rsid w:val="00B52A3A"/>
    <w:rsid w:val="00B543C2"/>
    <w:rsid w:val="00B56E3E"/>
    <w:rsid w:val="00B57E07"/>
    <w:rsid w:val="00B87008"/>
    <w:rsid w:val="00BC2C3E"/>
    <w:rsid w:val="00BC42A6"/>
    <w:rsid w:val="00C3348C"/>
    <w:rsid w:val="00C74D91"/>
    <w:rsid w:val="00CC3876"/>
    <w:rsid w:val="00D213EF"/>
    <w:rsid w:val="00D50547"/>
    <w:rsid w:val="00D86653"/>
    <w:rsid w:val="00DC19A2"/>
    <w:rsid w:val="00DC2830"/>
    <w:rsid w:val="00E514D1"/>
    <w:rsid w:val="00EA2941"/>
    <w:rsid w:val="00F45CD9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009C5"/>
  <w15:docId w15:val="{13DEFA29-52FF-477A-8F19-EDA3532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pacing w:after="340" w:line="480" w:lineRule="auto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D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C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CB6"/>
    <w:rPr>
      <w:color w:val="000000"/>
    </w:rPr>
  </w:style>
  <w:style w:type="paragraph" w:customStyle="1" w:styleId="apapaoi">
    <w:name w:val="apapaoi"/>
    <w:basedOn w:val="Normal"/>
    <w:rsid w:val="00A72A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he-IL"/>
    </w:rPr>
  </w:style>
  <w:style w:type="paragraph" w:customStyle="1" w:styleId="a">
    <w:name w:val="a"/>
    <w:basedOn w:val="Normal"/>
    <w:rsid w:val="00A72A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A72AEC"/>
    <w:rPr>
      <w:color w:val="0000FF"/>
      <w:u w:val="single"/>
    </w:rPr>
  </w:style>
  <w:style w:type="paragraph" w:customStyle="1" w:styleId="-apimo">
    <w:name w:val="-apimo"/>
    <w:basedOn w:val="Normal"/>
    <w:rsid w:val="00A72A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Yianna Yiangou</dc:creator>
  <cp:lastModifiedBy>Demosthenous  Pinelopi</cp:lastModifiedBy>
  <cp:revision>3</cp:revision>
  <cp:lastPrinted>2023-10-16T10:01:00Z</cp:lastPrinted>
  <dcterms:created xsi:type="dcterms:W3CDTF">2023-10-17T06:37:00Z</dcterms:created>
  <dcterms:modified xsi:type="dcterms:W3CDTF">2023-10-23T05:46:00Z</dcterms:modified>
</cp:coreProperties>
</file>